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E53A" w14:textId="77777777" w:rsidR="00DD4520" w:rsidRDefault="00DD4520" w:rsidP="00DD4520">
      <w:pPr>
        <w:jc w:val="center"/>
        <w:rPr>
          <w:rFonts w:ascii="Times New Roman" w:hAnsi="Times New Roman" w:cs="Times New Roman"/>
        </w:rPr>
      </w:pPr>
    </w:p>
    <w:p w14:paraId="5C13AD62" w14:textId="31ECB868" w:rsidR="00DD4520" w:rsidRDefault="00DD4520" w:rsidP="00DD4520">
      <w:pPr>
        <w:jc w:val="center"/>
        <w:rPr>
          <w:rFonts w:ascii="Times New Roman" w:hAnsi="Times New Roman" w:cs="Times New Roman"/>
        </w:rPr>
      </w:pPr>
    </w:p>
    <w:p w14:paraId="73B0EBE7" w14:textId="77777777" w:rsidR="00DD4520" w:rsidRDefault="00DD4520" w:rsidP="00DD4520">
      <w:pPr>
        <w:jc w:val="center"/>
        <w:rPr>
          <w:rFonts w:ascii="Times New Roman" w:hAnsi="Times New Roman" w:cs="Times New Roman"/>
        </w:rPr>
      </w:pPr>
    </w:p>
    <w:p w14:paraId="31F76242" w14:textId="74C04F01" w:rsidR="00990078" w:rsidRPr="00990078" w:rsidRDefault="00990078" w:rsidP="00990078">
      <w:pPr>
        <w:spacing w:after="0" w:line="480" w:lineRule="auto"/>
        <w:jc w:val="center"/>
        <w:rPr>
          <w:rFonts w:ascii="Garamond" w:hAnsi="Garamond" w:cs="Times New Roman"/>
        </w:rPr>
      </w:pPr>
      <w:r w:rsidRPr="00990078">
        <w:rPr>
          <w:rFonts w:ascii="Garamond" w:hAnsi="Garamond" w:cs="Times New Roman"/>
          <w:b/>
          <w:bCs/>
        </w:rPr>
        <w:t>Improving Revenue Integrity and Documentation Compliance in Applied Behavior Analysis: A Quality Improvement Initiative to Reduce Medicaid Claim Denials</w:t>
      </w:r>
    </w:p>
    <w:p w14:paraId="22990D1A" w14:textId="77777777" w:rsidR="00DD4520" w:rsidRPr="00990078" w:rsidRDefault="00DD4520" w:rsidP="00DF487E">
      <w:pPr>
        <w:spacing w:after="0" w:line="480" w:lineRule="auto"/>
        <w:jc w:val="center"/>
        <w:rPr>
          <w:rFonts w:ascii="Garamond" w:hAnsi="Garamond" w:cs="Times New Roman"/>
        </w:rPr>
      </w:pPr>
    </w:p>
    <w:p w14:paraId="5D122D97" w14:textId="77777777" w:rsidR="00990078" w:rsidRPr="00990078" w:rsidRDefault="00990078" w:rsidP="00DF487E">
      <w:pPr>
        <w:spacing w:after="0" w:line="480" w:lineRule="auto"/>
        <w:jc w:val="center"/>
        <w:rPr>
          <w:rFonts w:ascii="Garamond" w:hAnsi="Garamond" w:cs="Times New Roman"/>
        </w:rPr>
      </w:pPr>
    </w:p>
    <w:p w14:paraId="226D30AB" w14:textId="77777777" w:rsidR="00990078" w:rsidRPr="00990078" w:rsidRDefault="00990078" w:rsidP="00990078">
      <w:pPr>
        <w:spacing w:line="480" w:lineRule="auto"/>
        <w:jc w:val="center"/>
        <w:rPr>
          <w:rFonts w:ascii="Garamond" w:hAnsi="Garamond" w:cs="Times New Roman"/>
        </w:rPr>
      </w:pPr>
      <w:r w:rsidRPr="00990078">
        <w:rPr>
          <w:rFonts w:ascii="Garamond" w:hAnsi="Garamond" w:cs="Times New Roman"/>
        </w:rPr>
        <w:t>Dr. Hannah Penry, DBH, BCBA, LBA</w:t>
      </w:r>
    </w:p>
    <w:p w14:paraId="4F3487D9" w14:textId="77777777" w:rsidR="00990078" w:rsidRPr="00990078" w:rsidRDefault="00990078" w:rsidP="00990078">
      <w:pPr>
        <w:spacing w:line="480" w:lineRule="auto"/>
        <w:jc w:val="center"/>
        <w:rPr>
          <w:rFonts w:ascii="Garamond" w:hAnsi="Garamond" w:cs="Times New Roman"/>
        </w:rPr>
      </w:pPr>
    </w:p>
    <w:p w14:paraId="51F0CC36" w14:textId="1D6BE4C8" w:rsidR="00990078" w:rsidRPr="00990078" w:rsidRDefault="00990078" w:rsidP="00990078">
      <w:pPr>
        <w:spacing w:line="480" w:lineRule="auto"/>
        <w:jc w:val="center"/>
        <w:rPr>
          <w:rFonts w:ascii="Garamond" w:hAnsi="Garamond" w:cs="Times New Roman"/>
        </w:rPr>
      </w:pPr>
      <w:r w:rsidRPr="00990078">
        <w:rPr>
          <w:rFonts w:ascii="Garamond" w:hAnsi="Garamond" w:cs="Times New Roman"/>
        </w:rPr>
        <w:t>Doctor of Behavioral Health</w:t>
      </w:r>
      <w:r w:rsidRPr="00990078">
        <w:rPr>
          <w:rFonts w:ascii="Garamond" w:hAnsi="Garamond" w:cs="Times New Roman"/>
        </w:rPr>
        <w:br/>
        <w:t>Management Concentration</w:t>
      </w:r>
    </w:p>
    <w:p w14:paraId="6A58DC4E" w14:textId="77777777" w:rsidR="00990078" w:rsidRPr="00990078" w:rsidRDefault="00990078" w:rsidP="00990078">
      <w:pPr>
        <w:spacing w:line="480" w:lineRule="auto"/>
        <w:jc w:val="center"/>
        <w:rPr>
          <w:rFonts w:ascii="Garamond" w:hAnsi="Garamond" w:cs="Times New Roman"/>
        </w:rPr>
      </w:pPr>
    </w:p>
    <w:p w14:paraId="1DD72762" w14:textId="2D4C7CB4" w:rsidR="00990078" w:rsidRPr="00990078" w:rsidRDefault="00990078" w:rsidP="00990078">
      <w:pPr>
        <w:spacing w:line="480" w:lineRule="auto"/>
        <w:jc w:val="center"/>
        <w:rPr>
          <w:rFonts w:ascii="Garamond" w:hAnsi="Garamond" w:cs="Times New Roman"/>
        </w:rPr>
      </w:pPr>
      <w:r w:rsidRPr="00990078">
        <w:rPr>
          <w:rFonts w:ascii="Garamond" w:hAnsi="Garamond" w:cs="Times New Roman"/>
        </w:rPr>
        <w:t>Arizona State University</w:t>
      </w:r>
      <w:r w:rsidRPr="00990078">
        <w:rPr>
          <w:rFonts w:ascii="Garamond" w:hAnsi="Garamond" w:cs="Times New Roman"/>
        </w:rPr>
        <w:br/>
        <w:t>College of Health Solutions</w:t>
      </w:r>
    </w:p>
    <w:p w14:paraId="59B53F76" w14:textId="77777777" w:rsidR="00990078" w:rsidRPr="00990078" w:rsidRDefault="00990078" w:rsidP="00990078">
      <w:pPr>
        <w:spacing w:line="480" w:lineRule="auto"/>
        <w:jc w:val="center"/>
        <w:rPr>
          <w:rFonts w:ascii="Garamond" w:hAnsi="Garamond" w:cs="Times New Roman"/>
        </w:rPr>
      </w:pPr>
    </w:p>
    <w:p w14:paraId="777151C5" w14:textId="77777777" w:rsidR="00990078" w:rsidRPr="00990078" w:rsidRDefault="00990078" w:rsidP="00990078">
      <w:pPr>
        <w:spacing w:line="480" w:lineRule="auto"/>
        <w:jc w:val="center"/>
        <w:rPr>
          <w:rFonts w:ascii="Garamond" w:hAnsi="Garamond" w:cs="Times New Roman"/>
        </w:rPr>
      </w:pPr>
    </w:p>
    <w:p w14:paraId="593D7F95" w14:textId="77777777" w:rsidR="00990078" w:rsidRPr="00990078" w:rsidRDefault="00990078" w:rsidP="00990078">
      <w:pPr>
        <w:spacing w:line="480" w:lineRule="auto"/>
        <w:jc w:val="center"/>
        <w:rPr>
          <w:rFonts w:ascii="Garamond" w:hAnsi="Garamond" w:cs="Times New Roman"/>
        </w:rPr>
      </w:pPr>
    </w:p>
    <w:p w14:paraId="3F183B37" w14:textId="77777777" w:rsidR="00990078" w:rsidRPr="00990078" w:rsidRDefault="00990078" w:rsidP="00990078">
      <w:pPr>
        <w:spacing w:line="480" w:lineRule="auto"/>
        <w:jc w:val="center"/>
        <w:rPr>
          <w:rFonts w:ascii="Garamond" w:hAnsi="Garamond" w:cs="Times New Roman"/>
        </w:rPr>
      </w:pPr>
    </w:p>
    <w:p w14:paraId="07F71F65" w14:textId="2CCBF7D3" w:rsidR="00226190" w:rsidRDefault="00990078" w:rsidP="00990078">
      <w:pPr>
        <w:spacing w:line="480" w:lineRule="auto"/>
        <w:jc w:val="center"/>
        <w:rPr>
          <w:rFonts w:ascii="Garamond" w:hAnsi="Garamond" w:cs="Times New Roman"/>
        </w:rPr>
      </w:pPr>
      <w:r w:rsidRPr="00990078">
        <w:rPr>
          <w:rFonts w:ascii="Garamond" w:hAnsi="Garamond" w:cs="Times New Roman"/>
        </w:rPr>
        <w:t>April 2026</w:t>
      </w:r>
    </w:p>
    <w:p w14:paraId="27EF1F6A" w14:textId="77777777" w:rsidR="00226190" w:rsidRDefault="00226190">
      <w:pPr>
        <w:rPr>
          <w:rFonts w:ascii="Garamond" w:hAnsi="Garamond" w:cs="Times New Roman"/>
        </w:rPr>
      </w:pPr>
      <w:r>
        <w:rPr>
          <w:rFonts w:ascii="Garamond" w:hAnsi="Garamond" w:cs="Times New Roman"/>
        </w:rPr>
        <w:br w:type="page"/>
      </w:r>
    </w:p>
    <w:p w14:paraId="303999BF" w14:textId="77777777" w:rsidR="00990078" w:rsidRPr="00990078" w:rsidRDefault="00990078" w:rsidP="00990078">
      <w:pPr>
        <w:spacing w:line="480" w:lineRule="auto"/>
        <w:jc w:val="center"/>
        <w:rPr>
          <w:rFonts w:ascii="Garamond" w:hAnsi="Garamond" w:cs="Times New Roman"/>
        </w:rPr>
      </w:pPr>
    </w:p>
    <w:p w14:paraId="08FF93A6" w14:textId="1BBCD93B" w:rsidR="00226190" w:rsidRPr="00226190" w:rsidRDefault="00226190" w:rsidP="00226190">
      <w:pPr>
        <w:spacing w:line="480" w:lineRule="auto"/>
        <w:jc w:val="center"/>
        <w:rPr>
          <w:rFonts w:ascii="Garamond" w:hAnsi="Garamond" w:cs="Times New Roman"/>
          <w:b/>
          <w:bCs/>
        </w:rPr>
      </w:pPr>
      <w:r w:rsidRPr="00226190">
        <w:rPr>
          <w:rFonts w:ascii="Garamond" w:hAnsi="Garamond" w:cs="Times New Roman"/>
          <w:b/>
          <w:bCs/>
        </w:rPr>
        <w:t>Acknowledgements</w:t>
      </w:r>
    </w:p>
    <w:p w14:paraId="1E78B59D" w14:textId="19952029" w:rsidR="00226190" w:rsidRPr="00226190" w:rsidRDefault="00226190" w:rsidP="00226190">
      <w:pPr>
        <w:spacing w:line="480" w:lineRule="auto"/>
        <w:jc w:val="center"/>
        <w:rPr>
          <w:rFonts w:ascii="Garamond" w:hAnsi="Garamond" w:cs="Times New Roman"/>
        </w:rPr>
      </w:pPr>
      <w:r w:rsidRPr="00226190">
        <w:rPr>
          <w:rFonts w:ascii="Garamond" w:hAnsi="Garamond" w:cs="Times New Roman"/>
        </w:rPr>
        <w:t>To my husband, Alec, thank you for your unwavering support throughout this journey. Thank you for believing in me, encouraging me during the most challenging moments, and carrying so much so that I could continue moving forward. Your patience, sacrifice, and constant confidence in me made this achievement possible more than you know.</w:t>
      </w:r>
    </w:p>
    <w:p w14:paraId="17DBF9CA" w14:textId="77777777" w:rsidR="00226190" w:rsidRPr="00226190" w:rsidRDefault="00226190" w:rsidP="00226190">
      <w:pPr>
        <w:spacing w:line="480" w:lineRule="auto"/>
        <w:jc w:val="center"/>
        <w:rPr>
          <w:rFonts w:ascii="Garamond" w:hAnsi="Garamond" w:cs="Times New Roman"/>
        </w:rPr>
      </w:pPr>
      <w:r w:rsidRPr="00226190">
        <w:rPr>
          <w:rFonts w:ascii="Garamond" w:hAnsi="Garamond" w:cs="Times New Roman"/>
        </w:rPr>
        <w:t>To my daughter, Lillian, thank you for inspiring me to be the kind of woman I hope you will always know you can become: strong, capable, educated, determined, and compassionate. You are one of the greatest reasons I continued this journey. I hope this accomplishment shows you that women can lead, achieve, and create any future they dream for themselves. As Barbie said, “We mothers stand still so our daughters can look back to see how far they have come.” I hope you always know how deeply loved you are and how proud I am to be your mother.</w:t>
      </w:r>
    </w:p>
    <w:p w14:paraId="6D0A853C" w14:textId="77777777" w:rsidR="00226190" w:rsidRDefault="00226190" w:rsidP="00226190">
      <w:pPr>
        <w:spacing w:line="480" w:lineRule="auto"/>
        <w:jc w:val="center"/>
        <w:rPr>
          <w:rFonts w:ascii="Garamond" w:hAnsi="Garamond" w:cs="Times New Roman"/>
        </w:rPr>
      </w:pPr>
      <w:r w:rsidRPr="00226190">
        <w:rPr>
          <w:rFonts w:ascii="Garamond" w:hAnsi="Garamond" w:cs="Times New Roman"/>
        </w:rPr>
        <w:t>To my son, Ben, thank you for filling my life with joy, laughter, and perspective. Your love has a way of making every difficult day lighter and every success more meaningful. You remind me of what matters most and why hard work is always worth it. I hope one day you know how much of this journey was carried by the love I have for you, and that being your mother is my greatest accomplishment of all.</w:t>
      </w:r>
    </w:p>
    <w:p w14:paraId="40469544" w14:textId="77777777" w:rsidR="00226190" w:rsidRPr="00226190" w:rsidRDefault="00226190" w:rsidP="00226190">
      <w:pPr>
        <w:spacing w:line="480" w:lineRule="auto"/>
        <w:jc w:val="center"/>
        <w:rPr>
          <w:rFonts w:ascii="Garamond" w:hAnsi="Garamond" w:cs="Times New Roman"/>
        </w:rPr>
      </w:pPr>
    </w:p>
    <w:p w14:paraId="47A63A3E" w14:textId="77777777" w:rsidR="00226190" w:rsidRPr="00226190" w:rsidRDefault="00226190" w:rsidP="00226190">
      <w:pPr>
        <w:spacing w:line="480" w:lineRule="auto"/>
        <w:jc w:val="center"/>
        <w:rPr>
          <w:rFonts w:ascii="Garamond" w:hAnsi="Garamond" w:cs="Times New Roman"/>
        </w:rPr>
      </w:pPr>
      <w:r w:rsidRPr="00226190">
        <w:rPr>
          <w:rFonts w:ascii="Garamond" w:hAnsi="Garamond" w:cs="Times New Roman"/>
        </w:rPr>
        <w:t>To my family, thank you for being the foundation beneath every success I have ever achieved. This degree belongs to all of us.</w:t>
      </w:r>
    </w:p>
    <w:p w14:paraId="4F1548A5" w14:textId="77777777" w:rsidR="00226190" w:rsidRPr="00226190" w:rsidRDefault="00226190" w:rsidP="00226190">
      <w:pPr>
        <w:spacing w:line="480" w:lineRule="auto"/>
        <w:jc w:val="center"/>
        <w:rPr>
          <w:rFonts w:ascii="Garamond" w:hAnsi="Garamond" w:cs="Times New Roman"/>
        </w:rPr>
      </w:pPr>
      <w:r w:rsidRPr="00226190">
        <w:rPr>
          <w:rFonts w:ascii="Garamond" w:hAnsi="Garamond" w:cs="Times New Roman"/>
        </w:rPr>
        <w:t>With love and gratitude,</w:t>
      </w:r>
    </w:p>
    <w:p w14:paraId="02C01D0A" w14:textId="1B293387" w:rsidR="00982BD6" w:rsidRPr="00990078" w:rsidRDefault="00226190" w:rsidP="00226190">
      <w:pPr>
        <w:spacing w:line="480" w:lineRule="auto"/>
        <w:jc w:val="center"/>
        <w:rPr>
          <w:rFonts w:ascii="Garamond" w:hAnsi="Garamond" w:cs="Times New Roman"/>
        </w:rPr>
      </w:pPr>
      <w:r w:rsidRPr="00226190">
        <w:rPr>
          <w:rFonts w:ascii="Garamond" w:hAnsi="Garamond" w:cs="Times New Roman"/>
        </w:rPr>
        <w:t>Hannah Penry</w:t>
      </w:r>
    </w:p>
    <w:sdt>
      <w:sdtPr>
        <w:rPr>
          <w:rFonts w:ascii="Garamond" w:eastAsiaTheme="minorHAnsi" w:hAnsi="Garamond" w:cs="Times New Roman"/>
          <w:b/>
          <w:bCs/>
          <w:color w:val="auto"/>
          <w:kern w:val="2"/>
          <w:sz w:val="24"/>
          <w:szCs w:val="24"/>
          <w14:ligatures w14:val="standardContextual"/>
        </w:rPr>
        <w:id w:val="-1980292024"/>
        <w:docPartObj>
          <w:docPartGallery w:val="Table of Contents"/>
          <w:docPartUnique/>
        </w:docPartObj>
      </w:sdtPr>
      <w:sdtEndPr>
        <w:rPr>
          <w:rFonts w:cstheme="minorBidi"/>
          <w:noProof/>
        </w:rPr>
      </w:sdtEndPr>
      <w:sdtContent>
        <w:p w14:paraId="0295A4F1" w14:textId="0C416CEA" w:rsidR="00982BD6" w:rsidRPr="00990078" w:rsidRDefault="00982BD6" w:rsidP="00511392">
          <w:pPr>
            <w:pStyle w:val="TOCHeading"/>
            <w:jc w:val="center"/>
            <w:rPr>
              <w:rFonts w:ascii="Garamond" w:hAnsi="Garamond" w:cs="Times New Roman"/>
              <w:b/>
              <w:bCs/>
              <w:color w:val="auto"/>
              <w:sz w:val="24"/>
              <w:szCs w:val="24"/>
            </w:rPr>
          </w:pPr>
          <w:r w:rsidRPr="00990078">
            <w:rPr>
              <w:rFonts w:ascii="Garamond" w:hAnsi="Garamond" w:cs="Times New Roman"/>
              <w:b/>
              <w:bCs/>
              <w:color w:val="auto"/>
              <w:sz w:val="24"/>
              <w:szCs w:val="24"/>
            </w:rPr>
            <w:t>Contents</w:t>
          </w:r>
        </w:p>
        <w:p w14:paraId="60A145D8" w14:textId="23ECC6AE" w:rsidR="00226190" w:rsidRDefault="00982BD6">
          <w:pPr>
            <w:pStyle w:val="TOC1"/>
            <w:tabs>
              <w:tab w:val="right" w:leader="dot" w:pos="9350"/>
            </w:tabs>
            <w:rPr>
              <w:rFonts w:eastAsiaTheme="minorEastAsia"/>
              <w:noProof/>
            </w:rPr>
          </w:pPr>
          <w:r w:rsidRPr="00990078">
            <w:rPr>
              <w:rFonts w:ascii="Garamond" w:hAnsi="Garamond"/>
            </w:rPr>
            <w:fldChar w:fldCharType="begin"/>
          </w:r>
          <w:r w:rsidRPr="00990078">
            <w:rPr>
              <w:rFonts w:ascii="Garamond" w:hAnsi="Garamond"/>
            </w:rPr>
            <w:instrText xml:space="preserve"> TOC \o "1-3" \h \z \u </w:instrText>
          </w:r>
          <w:r w:rsidRPr="00990078">
            <w:rPr>
              <w:rFonts w:ascii="Garamond" w:hAnsi="Garamond"/>
            </w:rPr>
            <w:fldChar w:fldCharType="separate"/>
          </w:r>
          <w:hyperlink w:anchor="_Toc228175307" w:history="1">
            <w:r w:rsidR="00226190" w:rsidRPr="00A627F4">
              <w:rPr>
                <w:rStyle w:val="Hyperlink"/>
                <w:rFonts w:ascii="Garamond" w:hAnsi="Garamond" w:cs="Times New Roman"/>
                <w:b/>
                <w:bCs/>
                <w:noProof/>
                <w:lang w:val="en"/>
              </w:rPr>
              <w:t>Literature Review</w:t>
            </w:r>
            <w:r w:rsidR="00226190">
              <w:rPr>
                <w:noProof/>
                <w:webHidden/>
              </w:rPr>
              <w:tab/>
            </w:r>
            <w:r w:rsidR="00226190">
              <w:rPr>
                <w:noProof/>
                <w:webHidden/>
              </w:rPr>
              <w:fldChar w:fldCharType="begin"/>
            </w:r>
            <w:r w:rsidR="00226190">
              <w:rPr>
                <w:noProof/>
                <w:webHidden/>
              </w:rPr>
              <w:instrText xml:space="preserve"> PAGEREF _Toc228175307 \h </w:instrText>
            </w:r>
            <w:r w:rsidR="00226190">
              <w:rPr>
                <w:noProof/>
                <w:webHidden/>
              </w:rPr>
            </w:r>
            <w:r w:rsidR="00226190">
              <w:rPr>
                <w:noProof/>
                <w:webHidden/>
              </w:rPr>
              <w:fldChar w:fldCharType="separate"/>
            </w:r>
            <w:r w:rsidR="00226190">
              <w:rPr>
                <w:noProof/>
                <w:webHidden/>
              </w:rPr>
              <w:t>6</w:t>
            </w:r>
            <w:r w:rsidR="00226190">
              <w:rPr>
                <w:noProof/>
                <w:webHidden/>
              </w:rPr>
              <w:fldChar w:fldCharType="end"/>
            </w:r>
          </w:hyperlink>
        </w:p>
        <w:p w14:paraId="260156A6" w14:textId="7AD2A646" w:rsidR="00226190" w:rsidRDefault="00226190">
          <w:pPr>
            <w:pStyle w:val="TOC2"/>
            <w:tabs>
              <w:tab w:val="right" w:leader="dot" w:pos="9350"/>
            </w:tabs>
            <w:rPr>
              <w:rFonts w:eastAsiaTheme="minorEastAsia"/>
              <w:noProof/>
            </w:rPr>
          </w:pPr>
          <w:hyperlink w:anchor="_Toc228175308" w:history="1">
            <w:r w:rsidRPr="00A627F4">
              <w:rPr>
                <w:rStyle w:val="Hyperlink"/>
                <w:rFonts w:ascii="Garamond" w:hAnsi="Garamond" w:cs="Times New Roman"/>
                <w:b/>
                <w:bCs/>
                <w:noProof/>
                <w:lang w:val="en"/>
              </w:rPr>
              <w:t>Claim Denial Rate</w:t>
            </w:r>
            <w:r>
              <w:rPr>
                <w:noProof/>
                <w:webHidden/>
              </w:rPr>
              <w:tab/>
            </w:r>
            <w:r>
              <w:rPr>
                <w:noProof/>
                <w:webHidden/>
              </w:rPr>
              <w:fldChar w:fldCharType="begin"/>
            </w:r>
            <w:r>
              <w:rPr>
                <w:noProof/>
                <w:webHidden/>
              </w:rPr>
              <w:instrText xml:space="preserve"> PAGEREF _Toc228175308 \h </w:instrText>
            </w:r>
            <w:r>
              <w:rPr>
                <w:noProof/>
                <w:webHidden/>
              </w:rPr>
            </w:r>
            <w:r>
              <w:rPr>
                <w:noProof/>
                <w:webHidden/>
              </w:rPr>
              <w:fldChar w:fldCharType="separate"/>
            </w:r>
            <w:r>
              <w:rPr>
                <w:noProof/>
                <w:webHidden/>
              </w:rPr>
              <w:t>7</w:t>
            </w:r>
            <w:r>
              <w:rPr>
                <w:noProof/>
                <w:webHidden/>
              </w:rPr>
              <w:fldChar w:fldCharType="end"/>
            </w:r>
          </w:hyperlink>
        </w:p>
        <w:p w14:paraId="1C65D65B" w14:textId="3B4AED53" w:rsidR="00226190" w:rsidRDefault="00226190">
          <w:pPr>
            <w:pStyle w:val="TOC2"/>
            <w:tabs>
              <w:tab w:val="right" w:leader="dot" w:pos="9350"/>
            </w:tabs>
            <w:rPr>
              <w:rFonts w:eastAsiaTheme="minorEastAsia"/>
              <w:noProof/>
            </w:rPr>
          </w:pPr>
          <w:hyperlink w:anchor="_Toc228175309" w:history="1">
            <w:r w:rsidRPr="00A627F4">
              <w:rPr>
                <w:rStyle w:val="Hyperlink"/>
                <w:rFonts w:ascii="Garamond" w:hAnsi="Garamond" w:cs="Times New Roman"/>
                <w:b/>
                <w:bCs/>
                <w:noProof/>
                <w:lang w:val="en"/>
              </w:rPr>
              <w:t>Standardized Note Conversion Checklist</w:t>
            </w:r>
            <w:r>
              <w:rPr>
                <w:noProof/>
                <w:webHidden/>
              </w:rPr>
              <w:tab/>
            </w:r>
            <w:r>
              <w:rPr>
                <w:noProof/>
                <w:webHidden/>
              </w:rPr>
              <w:fldChar w:fldCharType="begin"/>
            </w:r>
            <w:r>
              <w:rPr>
                <w:noProof/>
                <w:webHidden/>
              </w:rPr>
              <w:instrText xml:space="preserve"> PAGEREF _Toc228175309 \h </w:instrText>
            </w:r>
            <w:r>
              <w:rPr>
                <w:noProof/>
                <w:webHidden/>
              </w:rPr>
            </w:r>
            <w:r>
              <w:rPr>
                <w:noProof/>
                <w:webHidden/>
              </w:rPr>
              <w:fldChar w:fldCharType="separate"/>
            </w:r>
            <w:r>
              <w:rPr>
                <w:noProof/>
                <w:webHidden/>
              </w:rPr>
              <w:t>8</w:t>
            </w:r>
            <w:r>
              <w:rPr>
                <w:noProof/>
                <w:webHidden/>
              </w:rPr>
              <w:fldChar w:fldCharType="end"/>
            </w:r>
          </w:hyperlink>
        </w:p>
        <w:p w14:paraId="09DD0F71" w14:textId="67476D75" w:rsidR="00226190" w:rsidRDefault="00226190">
          <w:pPr>
            <w:pStyle w:val="TOC2"/>
            <w:tabs>
              <w:tab w:val="right" w:leader="dot" w:pos="9350"/>
            </w:tabs>
            <w:rPr>
              <w:rFonts w:eastAsiaTheme="minorEastAsia"/>
              <w:noProof/>
            </w:rPr>
          </w:pPr>
          <w:hyperlink w:anchor="_Toc228175310" w:history="1">
            <w:r w:rsidRPr="00A627F4">
              <w:rPr>
                <w:rStyle w:val="Hyperlink"/>
                <w:rFonts w:ascii="Garamond" w:hAnsi="Garamond" w:cs="Times New Roman"/>
                <w:b/>
                <w:bCs/>
                <w:noProof/>
                <w:lang w:val="en"/>
              </w:rPr>
              <w:t>Anticipated Outcomes</w:t>
            </w:r>
            <w:r>
              <w:rPr>
                <w:noProof/>
                <w:webHidden/>
              </w:rPr>
              <w:tab/>
            </w:r>
            <w:r>
              <w:rPr>
                <w:noProof/>
                <w:webHidden/>
              </w:rPr>
              <w:fldChar w:fldCharType="begin"/>
            </w:r>
            <w:r>
              <w:rPr>
                <w:noProof/>
                <w:webHidden/>
              </w:rPr>
              <w:instrText xml:space="preserve"> PAGEREF _Toc228175310 \h </w:instrText>
            </w:r>
            <w:r>
              <w:rPr>
                <w:noProof/>
                <w:webHidden/>
              </w:rPr>
            </w:r>
            <w:r>
              <w:rPr>
                <w:noProof/>
                <w:webHidden/>
              </w:rPr>
              <w:fldChar w:fldCharType="separate"/>
            </w:r>
            <w:r>
              <w:rPr>
                <w:noProof/>
                <w:webHidden/>
              </w:rPr>
              <w:t>9</w:t>
            </w:r>
            <w:r>
              <w:rPr>
                <w:noProof/>
                <w:webHidden/>
              </w:rPr>
              <w:fldChar w:fldCharType="end"/>
            </w:r>
          </w:hyperlink>
        </w:p>
        <w:p w14:paraId="00A6263D" w14:textId="22BDB146" w:rsidR="00226190" w:rsidRDefault="00226190">
          <w:pPr>
            <w:pStyle w:val="TOC2"/>
            <w:tabs>
              <w:tab w:val="right" w:leader="dot" w:pos="9350"/>
            </w:tabs>
            <w:rPr>
              <w:rFonts w:eastAsiaTheme="minorEastAsia"/>
              <w:noProof/>
            </w:rPr>
          </w:pPr>
          <w:hyperlink w:anchor="_Toc228175311" w:history="1">
            <w:r w:rsidRPr="00A627F4">
              <w:rPr>
                <w:rStyle w:val="Hyperlink"/>
                <w:rFonts w:ascii="Garamond" w:hAnsi="Garamond" w:cs="Times New Roman"/>
                <w:b/>
                <w:bCs/>
                <w:noProof/>
                <w:lang w:val="en"/>
              </w:rPr>
              <w:t>Gaps in the Literature</w:t>
            </w:r>
            <w:r>
              <w:rPr>
                <w:noProof/>
                <w:webHidden/>
              </w:rPr>
              <w:tab/>
            </w:r>
            <w:r>
              <w:rPr>
                <w:noProof/>
                <w:webHidden/>
              </w:rPr>
              <w:fldChar w:fldCharType="begin"/>
            </w:r>
            <w:r>
              <w:rPr>
                <w:noProof/>
                <w:webHidden/>
              </w:rPr>
              <w:instrText xml:space="preserve"> PAGEREF _Toc228175311 \h </w:instrText>
            </w:r>
            <w:r>
              <w:rPr>
                <w:noProof/>
                <w:webHidden/>
              </w:rPr>
            </w:r>
            <w:r>
              <w:rPr>
                <w:noProof/>
                <w:webHidden/>
              </w:rPr>
              <w:fldChar w:fldCharType="separate"/>
            </w:r>
            <w:r>
              <w:rPr>
                <w:noProof/>
                <w:webHidden/>
              </w:rPr>
              <w:t>9</w:t>
            </w:r>
            <w:r>
              <w:rPr>
                <w:noProof/>
                <w:webHidden/>
              </w:rPr>
              <w:fldChar w:fldCharType="end"/>
            </w:r>
          </w:hyperlink>
        </w:p>
        <w:p w14:paraId="0115B0E1" w14:textId="475E67AD" w:rsidR="00226190" w:rsidRDefault="00226190">
          <w:pPr>
            <w:pStyle w:val="TOC2"/>
            <w:tabs>
              <w:tab w:val="right" w:leader="dot" w:pos="9350"/>
            </w:tabs>
            <w:rPr>
              <w:rFonts w:eastAsiaTheme="minorEastAsia"/>
              <w:noProof/>
            </w:rPr>
          </w:pPr>
          <w:hyperlink w:anchor="_Toc228175312" w:history="1">
            <w:r w:rsidRPr="00A627F4">
              <w:rPr>
                <w:rStyle w:val="Hyperlink"/>
                <w:rFonts w:ascii="Garamond" w:hAnsi="Garamond" w:cs="Times New Roman"/>
                <w:b/>
                <w:bCs/>
                <w:noProof/>
                <w:lang w:val="en"/>
              </w:rPr>
              <w:t>Literature Review Conclusion</w:t>
            </w:r>
            <w:r>
              <w:rPr>
                <w:noProof/>
                <w:webHidden/>
              </w:rPr>
              <w:tab/>
            </w:r>
            <w:r>
              <w:rPr>
                <w:noProof/>
                <w:webHidden/>
              </w:rPr>
              <w:fldChar w:fldCharType="begin"/>
            </w:r>
            <w:r>
              <w:rPr>
                <w:noProof/>
                <w:webHidden/>
              </w:rPr>
              <w:instrText xml:space="preserve"> PAGEREF _Toc228175312 \h </w:instrText>
            </w:r>
            <w:r>
              <w:rPr>
                <w:noProof/>
                <w:webHidden/>
              </w:rPr>
            </w:r>
            <w:r>
              <w:rPr>
                <w:noProof/>
                <w:webHidden/>
              </w:rPr>
              <w:fldChar w:fldCharType="separate"/>
            </w:r>
            <w:r>
              <w:rPr>
                <w:noProof/>
                <w:webHidden/>
              </w:rPr>
              <w:t>10</w:t>
            </w:r>
            <w:r>
              <w:rPr>
                <w:noProof/>
                <w:webHidden/>
              </w:rPr>
              <w:fldChar w:fldCharType="end"/>
            </w:r>
          </w:hyperlink>
        </w:p>
        <w:p w14:paraId="382F5C7D" w14:textId="4BCB55A1" w:rsidR="00226190" w:rsidRDefault="00226190">
          <w:pPr>
            <w:pStyle w:val="TOC1"/>
            <w:tabs>
              <w:tab w:val="right" w:leader="dot" w:pos="9350"/>
            </w:tabs>
            <w:rPr>
              <w:rFonts w:eastAsiaTheme="minorEastAsia"/>
              <w:noProof/>
            </w:rPr>
          </w:pPr>
          <w:hyperlink w:anchor="_Toc228175313" w:history="1">
            <w:r w:rsidRPr="00A627F4">
              <w:rPr>
                <w:rStyle w:val="Hyperlink"/>
                <w:rFonts w:ascii="Garamond" w:hAnsi="Garamond" w:cs="Times New Roman"/>
                <w:b/>
                <w:bCs/>
                <w:noProof/>
              </w:rPr>
              <w:t>Methods</w:t>
            </w:r>
            <w:r>
              <w:rPr>
                <w:noProof/>
                <w:webHidden/>
              </w:rPr>
              <w:tab/>
            </w:r>
            <w:r>
              <w:rPr>
                <w:noProof/>
                <w:webHidden/>
              </w:rPr>
              <w:fldChar w:fldCharType="begin"/>
            </w:r>
            <w:r>
              <w:rPr>
                <w:noProof/>
                <w:webHidden/>
              </w:rPr>
              <w:instrText xml:space="preserve"> PAGEREF _Toc228175313 \h </w:instrText>
            </w:r>
            <w:r>
              <w:rPr>
                <w:noProof/>
                <w:webHidden/>
              </w:rPr>
            </w:r>
            <w:r>
              <w:rPr>
                <w:noProof/>
                <w:webHidden/>
              </w:rPr>
              <w:fldChar w:fldCharType="separate"/>
            </w:r>
            <w:r>
              <w:rPr>
                <w:noProof/>
                <w:webHidden/>
              </w:rPr>
              <w:t>11</w:t>
            </w:r>
            <w:r>
              <w:rPr>
                <w:noProof/>
                <w:webHidden/>
              </w:rPr>
              <w:fldChar w:fldCharType="end"/>
            </w:r>
          </w:hyperlink>
        </w:p>
        <w:p w14:paraId="0BFC07F5" w14:textId="00ABEFF3" w:rsidR="00226190" w:rsidRDefault="00226190">
          <w:pPr>
            <w:pStyle w:val="TOC2"/>
            <w:tabs>
              <w:tab w:val="right" w:leader="dot" w:pos="9350"/>
            </w:tabs>
            <w:rPr>
              <w:rFonts w:eastAsiaTheme="minorEastAsia"/>
              <w:noProof/>
            </w:rPr>
          </w:pPr>
          <w:hyperlink w:anchor="_Toc228175314" w:history="1">
            <w:r w:rsidRPr="00A627F4">
              <w:rPr>
                <w:rStyle w:val="Hyperlink"/>
                <w:rFonts w:ascii="Garamond" w:hAnsi="Garamond" w:cs="Times New Roman"/>
                <w:b/>
                <w:bCs/>
                <w:noProof/>
              </w:rPr>
              <w:t>Introduction to the Methods Section</w:t>
            </w:r>
            <w:r>
              <w:rPr>
                <w:noProof/>
                <w:webHidden/>
              </w:rPr>
              <w:tab/>
            </w:r>
            <w:r>
              <w:rPr>
                <w:noProof/>
                <w:webHidden/>
              </w:rPr>
              <w:fldChar w:fldCharType="begin"/>
            </w:r>
            <w:r>
              <w:rPr>
                <w:noProof/>
                <w:webHidden/>
              </w:rPr>
              <w:instrText xml:space="preserve"> PAGEREF _Toc228175314 \h </w:instrText>
            </w:r>
            <w:r>
              <w:rPr>
                <w:noProof/>
                <w:webHidden/>
              </w:rPr>
            </w:r>
            <w:r>
              <w:rPr>
                <w:noProof/>
                <w:webHidden/>
              </w:rPr>
              <w:fldChar w:fldCharType="separate"/>
            </w:r>
            <w:r>
              <w:rPr>
                <w:noProof/>
                <w:webHidden/>
              </w:rPr>
              <w:t>11</w:t>
            </w:r>
            <w:r>
              <w:rPr>
                <w:noProof/>
                <w:webHidden/>
              </w:rPr>
              <w:fldChar w:fldCharType="end"/>
            </w:r>
          </w:hyperlink>
        </w:p>
        <w:p w14:paraId="5EC9F361" w14:textId="0D98AF9A" w:rsidR="00226190" w:rsidRDefault="00226190">
          <w:pPr>
            <w:pStyle w:val="TOC2"/>
            <w:tabs>
              <w:tab w:val="right" w:leader="dot" w:pos="9350"/>
            </w:tabs>
            <w:rPr>
              <w:rFonts w:eastAsiaTheme="minorEastAsia"/>
              <w:noProof/>
            </w:rPr>
          </w:pPr>
          <w:hyperlink w:anchor="_Toc228175315" w:history="1">
            <w:r w:rsidRPr="00A627F4">
              <w:rPr>
                <w:rStyle w:val="Hyperlink"/>
                <w:rFonts w:ascii="Garamond" w:hAnsi="Garamond" w:cs="Times New Roman"/>
                <w:b/>
                <w:bCs/>
                <w:noProof/>
              </w:rPr>
              <w:t>Context</w:t>
            </w:r>
            <w:r>
              <w:rPr>
                <w:noProof/>
                <w:webHidden/>
              </w:rPr>
              <w:tab/>
            </w:r>
            <w:r>
              <w:rPr>
                <w:noProof/>
                <w:webHidden/>
              </w:rPr>
              <w:fldChar w:fldCharType="begin"/>
            </w:r>
            <w:r>
              <w:rPr>
                <w:noProof/>
                <w:webHidden/>
              </w:rPr>
              <w:instrText xml:space="preserve"> PAGEREF _Toc228175315 \h </w:instrText>
            </w:r>
            <w:r>
              <w:rPr>
                <w:noProof/>
                <w:webHidden/>
              </w:rPr>
            </w:r>
            <w:r>
              <w:rPr>
                <w:noProof/>
                <w:webHidden/>
              </w:rPr>
              <w:fldChar w:fldCharType="separate"/>
            </w:r>
            <w:r>
              <w:rPr>
                <w:noProof/>
                <w:webHidden/>
              </w:rPr>
              <w:t>12</w:t>
            </w:r>
            <w:r>
              <w:rPr>
                <w:noProof/>
                <w:webHidden/>
              </w:rPr>
              <w:fldChar w:fldCharType="end"/>
            </w:r>
          </w:hyperlink>
        </w:p>
        <w:p w14:paraId="048AC4FB" w14:textId="3C8720BF" w:rsidR="00226190" w:rsidRDefault="00226190">
          <w:pPr>
            <w:pStyle w:val="TOC2"/>
            <w:tabs>
              <w:tab w:val="right" w:leader="dot" w:pos="9350"/>
            </w:tabs>
            <w:rPr>
              <w:rFonts w:eastAsiaTheme="minorEastAsia"/>
              <w:noProof/>
            </w:rPr>
          </w:pPr>
          <w:hyperlink w:anchor="_Toc228175316" w:history="1">
            <w:r w:rsidRPr="00A627F4">
              <w:rPr>
                <w:rStyle w:val="Hyperlink"/>
                <w:rFonts w:ascii="Garamond" w:hAnsi="Garamond" w:cs="Times New Roman"/>
                <w:b/>
                <w:bCs/>
                <w:noProof/>
              </w:rPr>
              <w:t>Stakeholders and Implementation Team</w:t>
            </w:r>
            <w:r>
              <w:rPr>
                <w:noProof/>
                <w:webHidden/>
              </w:rPr>
              <w:tab/>
            </w:r>
            <w:r>
              <w:rPr>
                <w:noProof/>
                <w:webHidden/>
              </w:rPr>
              <w:fldChar w:fldCharType="begin"/>
            </w:r>
            <w:r>
              <w:rPr>
                <w:noProof/>
                <w:webHidden/>
              </w:rPr>
              <w:instrText xml:space="preserve"> PAGEREF _Toc228175316 \h </w:instrText>
            </w:r>
            <w:r>
              <w:rPr>
                <w:noProof/>
                <w:webHidden/>
              </w:rPr>
            </w:r>
            <w:r>
              <w:rPr>
                <w:noProof/>
                <w:webHidden/>
              </w:rPr>
              <w:fldChar w:fldCharType="separate"/>
            </w:r>
            <w:r>
              <w:rPr>
                <w:noProof/>
                <w:webHidden/>
              </w:rPr>
              <w:t>13</w:t>
            </w:r>
            <w:r>
              <w:rPr>
                <w:noProof/>
                <w:webHidden/>
              </w:rPr>
              <w:fldChar w:fldCharType="end"/>
            </w:r>
          </w:hyperlink>
        </w:p>
        <w:p w14:paraId="5AB38482" w14:textId="46DADA03" w:rsidR="00226190" w:rsidRDefault="00226190">
          <w:pPr>
            <w:pStyle w:val="TOC2"/>
            <w:tabs>
              <w:tab w:val="right" w:leader="dot" w:pos="9350"/>
            </w:tabs>
            <w:rPr>
              <w:rFonts w:eastAsiaTheme="minorEastAsia"/>
              <w:noProof/>
            </w:rPr>
          </w:pPr>
          <w:hyperlink w:anchor="_Toc228175317" w:history="1">
            <w:r w:rsidRPr="00A627F4">
              <w:rPr>
                <w:rStyle w:val="Hyperlink"/>
                <w:rFonts w:ascii="Garamond" w:hAnsi="Garamond" w:cs="Times New Roman"/>
                <w:b/>
                <w:bCs/>
                <w:noProof/>
              </w:rPr>
              <w:t>Projected Barriers and Facilitators</w:t>
            </w:r>
            <w:r>
              <w:rPr>
                <w:noProof/>
                <w:webHidden/>
              </w:rPr>
              <w:tab/>
            </w:r>
            <w:r>
              <w:rPr>
                <w:noProof/>
                <w:webHidden/>
              </w:rPr>
              <w:fldChar w:fldCharType="begin"/>
            </w:r>
            <w:r>
              <w:rPr>
                <w:noProof/>
                <w:webHidden/>
              </w:rPr>
              <w:instrText xml:space="preserve"> PAGEREF _Toc228175317 \h </w:instrText>
            </w:r>
            <w:r>
              <w:rPr>
                <w:noProof/>
                <w:webHidden/>
              </w:rPr>
            </w:r>
            <w:r>
              <w:rPr>
                <w:noProof/>
                <w:webHidden/>
              </w:rPr>
              <w:fldChar w:fldCharType="separate"/>
            </w:r>
            <w:r>
              <w:rPr>
                <w:noProof/>
                <w:webHidden/>
              </w:rPr>
              <w:t>15</w:t>
            </w:r>
            <w:r>
              <w:rPr>
                <w:noProof/>
                <w:webHidden/>
              </w:rPr>
              <w:fldChar w:fldCharType="end"/>
            </w:r>
          </w:hyperlink>
        </w:p>
        <w:p w14:paraId="33EF5953" w14:textId="45B20400" w:rsidR="00226190" w:rsidRDefault="00226190">
          <w:pPr>
            <w:pStyle w:val="TOC2"/>
            <w:tabs>
              <w:tab w:val="right" w:leader="dot" w:pos="9350"/>
            </w:tabs>
            <w:rPr>
              <w:rFonts w:eastAsiaTheme="minorEastAsia"/>
              <w:noProof/>
            </w:rPr>
          </w:pPr>
          <w:hyperlink w:anchor="_Toc228175318" w:history="1">
            <w:r w:rsidRPr="00A627F4">
              <w:rPr>
                <w:rStyle w:val="Hyperlink"/>
                <w:rFonts w:ascii="Garamond" w:hAnsi="Garamond" w:cs="Times New Roman"/>
                <w:b/>
                <w:bCs/>
                <w:noProof/>
              </w:rPr>
              <w:t>Evidence-Based Intervention and Implementation Plans</w:t>
            </w:r>
            <w:r>
              <w:rPr>
                <w:noProof/>
                <w:webHidden/>
              </w:rPr>
              <w:tab/>
            </w:r>
            <w:r>
              <w:rPr>
                <w:noProof/>
                <w:webHidden/>
              </w:rPr>
              <w:fldChar w:fldCharType="begin"/>
            </w:r>
            <w:r>
              <w:rPr>
                <w:noProof/>
                <w:webHidden/>
              </w:rPr>
              <w:instrText xml:space="preserve"> PAGEREF _Toc228175318 \h </w:instrText>
            </w:r>
            <w:r>
              <w:rPr>
                <w:noProof/>
                <w:webHidden/>
              </w:rPr>
            </w:r>
            <w:r>
              <w:rPr>
                <w:noProof/>
                <w:webHidden/>
              </w:rPr>
              <w:fldChar w:fldCharType="separate"/>
            </w:r>
            <w:r>
              <w:rPr>
                <w:noProof/>
                <w:webHidden/>
              </w:rPr>
              <w:t>17</w:t>
            </w:r>
            <w:r>
              <w:rPr>
                <w:noProof/>
                <w:webHidden/>
              </w:rPr>
              <w:fldChar w:fldCharType="end"/>
            </w:r>
          </w:hyperlink>
        </w:p>
        <w:p w14:paraId="0042A6CA" w14:textId="788AA57D" w:rsidR="00226190" w:rsidRDefault="00226190">
          <w:pPr>
            <w:pStyle w:val="TOC2"/>
            <w:tabs>
              <w:tab w:val="right" w:leader="dot" w:pos="9350"/>
            </w:tabs>
            <w:rPr>
              <w:rFonts w:eastAsiaTheme="minorEastAsia"/>
              <w:noProof/>
            </w:rPr>
          </w:pPr>
          <w:hyperlink w:anchor="_Toc228175319" w:history="1">
            <w:r w:rsidRPr="00A627F4">
              <w:rPr>
                <w:rStyle w:val="Hyperlink"/>
                <w:rFonts w:ascii="Garamond" w:hAnsi="Garamond" w:cs="Times New Roman"/>
                <w:b/>
                <w:bCs/>
                <w:noProof/>
              </w:rPr>
              <w:t>Logic Model</w:t>
            </w:r>
            <w:r>
              <w:rPr>
                <w:noProof/>
                <w:webHidden/>
              </w:rPr>
              <w:tab/>
            </w:r>
            <w:r>
              <w:rPr>
                <w:noProof/>
                <w:webHidden/>
              </w:rPr>
              <w:fldChar w:fldCharType="begin"/>
            </w:r>
            <w:r>
              <w:rPr>
                <w:noProof/>
                <w:webHidden/>
              </w:rPr>
              <w:instrText xml:space="preserve"> PAGEREF _Toc228175319 \h </w:instrText>
            </w:r>
            <w:r>
              <w:rPr>
                <w:noProof/>
                <w:webHidden/>
              </w:rPr>
            </w:r>
            <w:r>
              <w:rPr>
                <w:noProof/>
                <w:webHidden/>
              </w:rPr>
              <w:fldChar w:fldCharType="separate"/>
            </w:r>
            <w:r>
              <w:rPr>
                <w:noProof/>
                <w:webHidden/>
              </w:rPr>
              <w:t>18</w:t>
            </w:r>
            <w:r>
              <w:rPr>
                <w:noProof/>
                <w:webHidden/>
              </w:rPr>
              <w:fldChar w:fldCharType="end"/>
            </w:r>
          </w:hyperlink>
        </w:p>
        <w:p w14:paraId="18053A80" w14:textId="4881248B" w:rsidR="00226190" w:rsidRDefault="00226190">
          <w:pPr>
            <w:pStyle w:val="TOC2"/>
            <w:tabs>
              <w:tab w:val="right" w:leader="dot" w:pos="9350"/>
            </w:tabs>
            <w:rPr>
              <w:rFonts w:eastAsiaTheme="minorEastAsia"/>
              <w:noProof/>
            </w:rPr>
          </w:pPr>
          <w:hyperlink w:anchor="_Toc228175320" w:history="1">
            <w:r w:rsidRPr="00A627F4">
              <w:rPr>
                <w:rStyle w:val="Hyperlink"/>
                <w:rFonts w:ascii="Garamond" w:hAnsi="Garamond" w:cs="Times New Roman"/>
                <w:b/>
                <w:bCs/>
                <w:noProof/>
              </w:rPr>
              <w:t>Evidence-Based Intervention and Implementation Strategies</w:t>
            </w:r>
            <w:r>
              <w:rPr>
                <w:noProof/>
                <w:webHidden/>
              </w:rPr>
              <w:tab/>
            </w:r>
            <w:r>
              <w:rPr>
                <w:noProof/>
                <w:webHidden/>
              </w:rPr>
              <w:fldChar w:fldCharType="begin"/>
            </w:r>
            <w:r>
              <w:rPr>
                <w:noProof/>
                <w:webHidden/>
              </w:rPr>
              <w:instrText xml:space="preserve"> PAGEREF _Toc228175320 \h </w:instrText>
            </w:r>
            <w:r>
              <w:rPr>
                <w:noProof/>
                <w:webHidden/>
              </w:rPr>
            </w:r>
            <w:r>
              <w:rPr>
                <w:noProof/>
                <w:webHidden/>
              </w:rPr>
              <w:fldChar w:fldCharType="separate"/>
            </w:r>
            <w:r>
              <w:rPr>
                <w:noProof/>
                <w:webHidden/>
              </w:rPr>
              <w:t>18</w:t>
            </w:r>
            <w:r>
              <w:rPr>
                <w:noProof/>
                <w:webHidden/>
              </w:rPr>
              <w:fldChar w:fldCharType="end"/>
            </w:r>
          </w:hyperlink>
        </w:p>
        <w:p w14:paraId="1BA1ECF0" w14:textId="149F4BE3" w:rsidR="00226190" w:rsidRDefault="00226190">
          <w:pPr>
            <w:pStyle w:val="TOC2"/>
            <w:tabs>
              <w:tab w:val="right" w:leader="dot" w:pos="9350"/>
            </w:tabs>
            <w:rPr>
              <w:rFonts w:eastAsiaTheme="minorEastAsia"/>
              <w:noProof/>
            </w:rPr>
          </w:pPr>
          <w:hyperlink w:anchor="_Toc228175321" w:history="1">
            <w:r w:rsidRPr="00A627F4">
              <w:rPr>
                <w:rStyle w:val="Hyperlink"/>
                <w:rFonts w:ascii="Garamond" w:hAnsi="Garamond" w:cs="Times New Roman"/>
                <w:b/>
                <w:bCs/>
                <w:noProof/>
              </w:rPr>
              <w:t>Implementation Plan</w:t>
            </w:r>
            <w:r>
              <w:rPr>
                <w:noProof/>
                <w:webHidden/>
              </w:rPr>
              <w:tab/>
            </w:r>
            <w:r>
              <w:rPr>
                <w:noProof/>
                <w:webHidden/>
              </w:rPr>
              <w:fldChar w:fldCharType="begin"/>
            </w:r>
            <w:r>
              <w:rPr>
                <w:noProof/>
                <w:webHidden/>
              </w:rPr>
              <w:instrText xml:space="preserve"> PAGEREF _Toc228175321 \h </w:instrText>
            </w:r>
            <w:r>
              <w:rPr>
                <w:noProof/>
                <w:webHidden/>
              </w:rPr>
            </w:r>
            <w:r>
              <w:rPr>
                <w:noProof/>
                <w:webHidden/>
              </w:rPr>
              <w:fldChar w:fldCharType="separate"/>
            </w:r>
            <w:r>
              <w:rPr>
                <w:noProof/>
                <w:webHidden/>
              </w:rPr>
              <w:t>20</w:t>
            </w:r>
            <w:r>
              <w:rPr>
                <w:noProof/>
                <w:webHidden/>
              </w:rPr>
              <w:fldChar w:fldCharType="end"/>
            </w:r>
          </w:hyperlink>
        </w:p>
        <w:p w14:paraId="2E0B6A05" w14:textId="2B0F09DD" w:rsidR="00226190" w:rsidRDefault="00226190">
          <w:pPr>
            <w:pStyle w:val="TOC2"/>
            <w:tabs>
              <w:tab w:val="right" w:leader="dot" w:pos="9350"/>
            </w:tabs>
            <w:rPr>
              <w:rFonts w:eastAsiaTheme="minorEastAsia"/>
              <w:noProof/>
            </w:rPr>
          </w:pPr>
          <w:hyperlink w:anchor="_Toc228175322" w:history="1">
            <w:r w:rsidRPr="00A627F4">
              <w:rPr>
                <w:rStyle w:val="Hyperlink"/>
                <w:rFonts w:ascii="Garamond" w:hAnsi="Garamond" w:cs="Times New Roman"/>
                <w:b/>
                <w:bCs/>
                <w:noProof/>
              </w:rPr>
              <w:t>Monitoring, Evaluation, and Learning Plan</w:t>
            </w:r>
            <w:r>
              <w:rPr>
                <w:noProof/>
                <w:webHidden/>
              </w:rPr>
              <w:tab/>
            </w:r>
            <w:r>
              <w:rPr>
                <w:noProof/>
                <w:webHidden/>
              </w:rPr>
              <w:fldChar w:fldCharType="begin"/>
            </w:r>
            <w:r>
              <w:rPr>
                <w:noProof/>
                <w:webHidden/>
              </w:rPr>
              <w:instrText xml:space="preserve"> PAGEREF _Toc228175322 \h </w:instrText>
            </w:r>
            <w:r>
              <w:rPr>
                <w:noProof/>
                <w:webHidden/>
              </w:rPr>
            </w:r>
            <w:r>
              <w:rPr>
                <w:noProof/>
                <w:webHidden/>
              </w:rPr>
              <w:fldChar w:fldCharType="separate"/>
            </w:r>
            <w:r>
              <w:rPr>
                <w:noProof/>
                <w:webHidden/>
              </w:rPr>
              <w:t>21</w:t>
            </w:r>
            <w:r>
              <w:rPr>
                <w:noProof/>
                <w:webHidden/>
              </w:rPr>
              <w:fldChar w:fldCharType="end"/>
            </w:r>
          </w:hyperlink>
        </w:p>
        <w:p w14:paraId="06EEFBAA" w14:textId="68677B94" w:rsidR="00226190" w:rsidRDefault="00226190">
          <w:pPr>
            <w:pStyle w:val="TOC2"/>
            <w:tabs>
              <w:tab w:val="right" w:leader="dot" w:pos="9350"/>
            </w:tabs>
            <w:rPr>
              <w:rFonts w:eastAsiaTheme="minorEastAsia"/>
              <w:noProof/>
            </w:rPr>
          </w:pPr>
          <w:hyperlink w:anchor="_Toc228175323" w:history="1">
            <w:r w:rsidRPr="00A627F4">
              <w:rPr>
                <w:rStyle w:val="Hyperlink"/>
                <w:rFonts w:ascii="Garamond" w:hAnsi="Garamond" w:cs="Times New Roman"/>
                <w:b/>
                <w:bCs/>
                <w:noProof/>
              </w:rPr>
              <w:t>Data Collection Methods</w:t>
            </w:r>
            <w:r>
              <w:rPr>
                <w:noProof/>
                <w:webHidden/>
              </w:rPr>
              <w:tab/>
            </w:r>
            <w:r>
              <w:rPr>
                <w:noProof/>
                <w:webHidden/>
              </w:rPr>
              <w:fldChar w:fldCharType="begin"/>
            </w:r>
            <w:r>
              <w:rPr>
                <w:noProof/>
                <w:webHidden/>
              </w:rPr>
              <w:instrText xml:space="preserve"> PAGEREF _Toc228175323 \h </w:instrText>
            </w:r>
            <w:r>
              <w:rPr>
                <w:noProof/>
                <w:webHidden/>
              </w:rPr>
            </w:r>
            <w:r>
              <w:rPr>
                <w:noProof/>
                <w:webHidden/>
              </w:rPr>
              <w:fldChar w:fldCharType="separate"/>
            </w:r>
            <w:r>
              <w:rPr>
                <w:noProof/>
                <w:webHidden/>
              </w:rPr>
              <w:t>22</w:t>
            </w:r>
            <w:r>
              <w:rPr>
                <w:noProof/>
                <w:webHidden/>
              </w:rPr>
              <w:fldChar w:fldCharType="end"/>
            </w:r>
          </w:hyperlink>
        </w:p>
        <w:p w14:paraId="193964EE" w14:textId="4F66196D" w:rsidR="00226190" w:rsidRDefault="00226190">
          <w:pPr>
            <w:pStyle w:val="TOC2"/>
            <w:tabs>
              <w:tab w:val="right" w:leader="dot" w:pos="9350"/>
            </w:tabs>
            <w:rPr>
              <w:rFonts w:eastAsiaTheme="minorEastAsia"/>
              <w:noProof/>
            </w:rPr>
          </w:pPr>
          <w:hyperlink w:anchor="_Toc228175324" w:history="1">
            <w:r w:rsidRPr="00A627F4">
              <w:rPr>
                <w:rStyle w:val="Hyperlink"/>
                <w:rFonts w:ascii="Garamond" w:hAnsi="Garamond" w:cs="Times New Roman"/>
                <w:b/>
                <w:bCs/>
                <w:noProof/>
              </w:rPr>
              <w:t>Outcome Measure</w:t>
            </w:r>
            <w:r>
              <w:rPr>
                <w:noProof/>
                <w:webHidden/>
              </w:rPr>
              <w:tab/>
            </w:r>
            <w:r>
              <w:rPr>
                <w:noProof/>
                <w:webHidden/>
              </w:rPr>
              <w:fldChar w:fldCharType="begin"/>
            </w:r>
            <w:r>
              <w:rPr>
                <w:noProof/>
                <w:webHidden/>
              </w:rPr>
              <w:instrText xml:space="preserve"> PAGEREF _Toc228175324 \h </w:instrText>
            </w:r>
            <w:r>
              <w:rPr>
                <w:noProof/>
                <w:webHidden/>
              </w:rPr>
            </w:r>
            <w:r>
              <w:rPr>
                <w:noProof/>
                <w:webHidden/>
              </w:rPr>
              <w:fldChar w:fldCharType="separate"/>
            </w:r>
            <w:r>
              <w:rPr>
                <w:noProof/>
                <w:webHidden/>
              </w:rPr>
              <w:t>23</w:t>
            </w:r>
            <w:r>
              <w:rPr>
                <w:noProof/>
                <w:webHidden/>
              </w:rPr>
              <w:fldChar w:fldCharType="end"/>
            </w:r>
          </w:hyperlink>
        </w:p>
        <w:p w14:paraId="49E1AC77" w14:textId="29AEFE95" w:rsidR="00226190" w:rsidRDefault="00226190">
          <w:pPr>
            <w:pStyle w:val="TOC2"/>
            <w:tabs>
              <w:tab w:val="right" w:leader="dot" w:pos="9350"/>
            </w:tabs>
            <w:rPr>
              <w:rFonts w:eastAsiaTheme="minorEastAsia"/>
              <w:noProof/>
            </w:rPr>
          </w:pPr>
          <w:hyperlink w:anchor="_Toc228175325" w:history="1">
            <w:r w:rsidRPr="00A627F4">
              <w:rPr>
                <w:rStyle w:val="Hyperlink"/>
                <w:rFonts w:ascii="Garamond" w:hAnsi="Garamond" w:cs="Times New Roman"/>
                <w:b/>
                <w:bCs/>
                <w:noProof/>
              </w:rPr>
              <w:t>Stages of Implementation Completion Model</w:t>
            </w:r>
            <w:r>
              <w:rPr>
                <w:noProof/>
                <w:webHidden/>
              </w:rPr>
              <w:tab/>
            </w:r>
            <w:r>
              <w:rPr>
                <w:noProof/>
                <w:webHidden/>
              </w:rPr>
              <w:fldChar w:fldCharType="begin"/>
            </w:r>
            <w:r>
              <w:rPr>
                <w:noProof/>
                <w:webHidden/>
              </w:rPr>
              <w:instrText xml:space="preserve"> PAGEREF _Toc228175325 \h </w:instrText>
            </w:r>
            <w:r>
              <w:rPr>
                <w:noProof/>
                <w:webHidden/>
              </w:rPr>
            </w:r>
            <w:r>
              <w:rPr>
                <w:noProof/>
                <w:webHidden/>
              </w:rPr>
              <w:fldChar w:fldCharType="separate"/>
            </w:r>
            <w:r>
              <w:rPr>
                <w:noProof/>
                <w:webHidden/>
              </w:rPr>
              <w:t>24</w:t>
            </w:r>
            <w:r>
              <w:rPr>
                <w:noProof/>
                <w:webHidden/>
              </w:rPr>
              <w:fldChar w:fldCharType="end"/>
            </w:r>
          </w:hyperlink>
        </w:p>
        <w:p w14:paraId="71A23F4C" w14:textId="1CE64A87" w:rsidR="00226190" w:rsidRDefault="00226190">
          <w:pPr>
            <w:pStyle w:val="TOC2"/>
            <w:tabs>
              <w:tab w:val="right" w:leader="dot" w:pos="9350"/>
            </w:tabs>
            <w:rPr>
              <w:rFonts w:eastAsiaTheme="minorEastAsia"/>
              <w:noProof/>
            </w:rPr>
          </w:pPr>
          <w:hyperlink w:anchor="_Toc228175326" w:history="1">
            <w:r w:rsidRPr="00A627F4">
              <w:rPr>
                <w:rStyle w:val="Hyperlink"/>
                <w:rFonts w:ascii="Garamond" w:hAnsi="Garamond" w:cs="Times New Roman"/>
                <w:b/>
                <w:bCs/>
                <w:noProof/>
              </w:rPr>
              <w:t>SIC Model Evaluation Plan</w:t>
            </w:r>
            <w:r>
              <w:rPr>
                <w:noProof/>
                <w:webHidden/>
              </w:rPr>
              <w:tab/>
            </w:r>
            <w:r>
              <w:rPr>
                <w:noProof/>
                <w:webHidden/>
              </w:rPr>
              <w:fldChar w:fldCharType="begin"/>
            </w:r>
            <w:r>
              <w:rPr>
                <w:noProof/>
                <w:webHidden/>
              </w:rPr>
              <w:instrText xml:space="preserve"> PAGEREF _Toc228175326 \h </w:instrText>
            </w:r>
            <w:r>
              <w:rPr>
                <w:noProof/>
                <w:webHidden/>
              </w:rPr>
            </w:r>
            <w:r>
              <w:rPr>
                <w:noProof/>
                <w:webHidden/>
              </w:rPr>
              <w:fldChar w:fldCharType="separate"/>
            </w:r>
            <w:r>
              <w:rPr>
                <w:noProof/>
                <w:webHidden/>
              </w:rPr>
              <w:t>25</w:t>
            </w:r>
            <w:r>
              <w:rPr>
                <w:noProof/>
                <w:webHidden/>
              </w:rPr>
              <w:fldChar w:fldCharType="end"/>
            </w:r>
          </w:hyperlink>
        </w:p>
        <w:p w14:paraId="7863404A" w14:textId="475B7347" w:rsidR="00226190" w:rsidRDefault="00226190">
          <w:pPr>
            <w:pStyle w:val="TOC2"/>
            <w:tabs>
              <w:tab w:val="right" w:leader="dot" w:pos="9350"/>
            </w:tabs>
            <w:rPr>
              <w:rFonts w:eastAsiaTheme="minorEastAsia"/>
              <w:noProof/>
            </w:rPr>
          </w:pPr>
          <w:hyperlink w:anchor="_Toc228175327" w:history="1">
            <w:r w:rsidRPr="00A627F4">
              <w:rPr>
                <w:rStyle w:val="Hyperlink"/>
                <w:rFonts w:ascii="Garamond" w:hAnsi="Garamond" w:cs="Times New Roman"/>
                <w:b/>
                <w:bCs/>
                <w:noProof/>
              </w:rPr>
              <w:t>SIC Implementation Completion (Model)</w:t>
            </w:r>
            <w:r>
              <w:rPr>
                <w:noProof/>
                <w:webHidden/>
              </w:rPr>
              <w:tab/>
            </w:r>
            <w:r>
              <w:rPr>
                <w:noProof/>
                <w:webHidden/>
              </w:rPr>
              <w:fldChar w:fldCharType="begin"/>
            </w:r>
            <w:r>
              <w:rPr>
                <w:noProof/>
                <w:webHidden/>
              </w:rPr>
              <w:instrText xml:space="preserve"> PAGEREF _Toc228175327 \h </w:instrText>
            </w:r>
            <w:r>
              <w:rPr>
                <w:noProof/>
                <w:webHidden/>
              </w:rPr>
            </w:r>
            <w:r>
              <w:rPr>
                <w:noProof/>
                <w:webHidden/>
              </w:rPr>
              <w:fldChar w:fldCharType="separate"/>
            </w:r>
            <w:r>
              <w:rPr>
                <w:noProof/>
                <w:webHidden/>
              </w:rPr>
              <w:t>26</w:t>
            </w:r>
            <w:r>
              <w:rPr>
                <w:noProof/>
                <w:webHidden/>
              </w:rPr>
              <w:fldChar w:fldCharType="end"/>
            </w:r>
          </w:hyperlink>
        </w:p>
        <w:p w14:paraId="12A6567D" w14:textId="47BEC336" w:rsidR="00226190" w:rsidRDefault="00226190">
          <w:pPr>
            <w:pStyle w:val="TOC2"/>
            <w:tabs>
              <w:tab w:val="right" w:leader="dot" w:pos="9350"/>
            </w:tabs>
            <w:rPr>
              <w:rFonts w:eastAsiaTheme="minorEastAsia"/>
              <w:noProof/>
            </w:rPr>
          </w:pPr>
          <w:hyperlink w:anchor="_Toc228175328" w:history="1">
            <w:r w:rsidRPr="00A627F4">
              <w:rPr>
                <w:rStyle w:val="Hyperlink"/>
                <w:rFonts w:ascii="Garamond" w:hAnsi="Garamond" w:cs="Times New Roman"/>
                <w:b/>
                <w:bCs/>
                <w:noProof/>
              </w:rPr>
              <w:t>Evaluation Plan for the SIC Model</w:t>
            </w:r>
            <w:r>
              <w:rPr>
                <w:noProof/>
                <w:webHidden/>
              </w:rPr>
              <w:tab/>
            </w:r>
            <w:r>
              <w:rPr>
                <w:noProof/>
                <w:webHidden/>
              </w:rPr>
              <w:fldChar w:fldCharType="begin"/>
            </w:r>
            <w:r>
              <w:rPr>
                <w:noProof/>
                <w:webHidden/>
              </w:rPr>
              <w:instrText xml:space="preserve"> PAGEREF _Toc228175328 \h </w:instrText>
            </w:r>
            <w:r>
              <w:rPr>
                <w:noProof/>
                <w:webHidden/>
              </w:rPr>
            </w:r>
            <w:r>
              <w:rPr>
                <w:noProof/>
                <w:webHidden/>
              </w:rPr>
              <w:fldChar w:fldCharType="separate"/>
            </w:r>
            <w:r>
              <w:rPr>
                <w:noProof/>
                <w:webHidden/>
              </w:rPr>
              <w:t>27</w:t>
            </w:r>
            <w:r>
              <w:rPr>
                <w:noProof/>
                <w:webHidden/>
              </w:rPr>
              <w:fldChar w:fldCharType="end"/>
            </w:r>
          </w:hyperlink>
        </w:p>
        <w:p w14:paraId="1250B9C7" w14:textId="36B3B15D" w:rsidR="00226190" w:rsidRDefault="00226190">
          <w:pPr>
            <w:pStyle w:val="TOC2"/>
            <w:tabs>
              <w:tab w:val="right" w:leader="dot" w:pos="9350"/>
            </w:tabs>
            <w:rPr>
              <w:rFonts w:eastAsiaTheme="minorEastAsia"/>
              <w:noProof/>
            </w:rPr>
          </w:pPr>
          <w:hyperlink w:anchor="_Toc228175329" w:history="1">
            <w:r w:rsidRPr="00A627F4">
              <w:rPr>
                <w:rStyle w:val="Hyperlink"/>
                <w:rFonts w:ascii="Garamond" w:hAnsi="Garamond" w:cs="Times New Roman"/>
                <w:b/>
                <w:bCs/>
                <w:noProof/>
              </w:rPr>
              <w:t>SIC Model Project Discussion</w:t>
            </w:r>
            <w:r>
              <w:rPr>
                <w:noProof/>
                <w:webHidden/>
              </w:rPr>
              <w:tab/>
            </w:r>
            <w:r>
              <w:rPr>
                <w:noProof/>
                <w:webHidden/>
              </w:rPr>
              <w:fldChar w:fldCharType="begin"/>
            </w:r>
            <w:r>
              <w:rPr>
                <w:noProof/>
                <w:webHidden/>
              </w:rPr>
              <w:instrText xml:space="preserve"> PAGEREF _Toc228175329 \h </w:instrText>
            </w:r>
            <w:r>
              <w:rPr>
                <w:noProof/>
                <w:webHidden/>
              </w:rPr>
            </w:r>
            <w:r>
              <w:rPr>
                <w:noProof/>
                <w:webHidden/>
              </w:rPr>
              <w:fldChar w:fldCharType="separate"/>
            </w:r>
            <w:r>
              <w:rPr>
                <w:noProof/>
                <w:webHidden/>
              </w:rPr>
              <w:t>29</w:t>
            </w:r>
            <w:r>
              <w:rPr>
                <w:noProof/>
                <w:webHidden/>
              </w:rPr>
              <w:fldChar w:fldCharType="end"/>
            </w:r>
          </w:hyperlink>
        </w:p>
        <w:p w14:paraId="3DF3BBE5" w14:textId="199B483F" w:rsidR="00226190" w:rsidRDefault="00226190">
          <w:pPr>
            <w:pStyle w:val="TOC1"/>
            <w:tabs>
              <w:tab w:val="right" w:leader="dot" w:pos="9350"/>
            </w:tabs>
            <w:rPr>
              <w:rFonts w:eastAsiaTheme="minorEastAsia"/>
              <w:noProof/>
            </w:rPr>
          </w:pPr>
          <w:hyperlink w:anchor="_Toc228175330" w:history="1">
            <w:r w:rsidRPr="00A627F4">
              <w:rPr>
                <w:rStyle w:val="Hyperlink"/>
                <w:rFonts w:ascii="Garamond" w:hAnsi="Garamond" w:cs="Times New Roman"/>
                <w:b/>
                <w:bCs/>
                <w:noProof/>
              </w:rPr>
              <w:t>Conclusion</w:t>
            </w:r>
            <w:r>
              <w:rPr>
                <w:noProof/>
                <w:webHidden/>
              </w:rPr>
              <w:tab/>
            </w:r>
            <w:r>
              <w:rPr>
                <w:noProof/>
                <w:webHidden/>
              </w:rPr>
              <w:fldChar w:fldCharType="begin"/>
            </w:r>
            <w:r>
              <w:rPr>
                <w:noProof/>
                <w:webHidden/>
              </w:rPr>
              <w:instrText xml:space="preserve"> PAGEREF _Toc228175330 \h </w:instrText>
            </w:r>
            <w:r>
              <w:rPr>
                <w:noProof/>
                <w:webHidden/>
              </w:rPr>
            </w:r>
            <w:r>
              <w:rPr>
                <w:noProof/>
                <w:webHidden/>
              </w:rPr>
              <w:fldChar w:fldCharType="separate"/>
            </w:r>
            <w:r>
              <w:rPr>
                <w:noProof/>
                <w:webHidden/>
              </w:rPr>
              <w:t>31</w:t>
            </w:r>
            <w:r>
              <w:rPr>
                <w:noProof/>
                <w:webHidden/>
              </w:rPr>
              <w:fldChar w:fldCharType="end"/>
            </w:r>
          </w:hyperlink>
        </w:p>
        <w:p w14:paraId="4A7C074C" w14:textId="36966F29" w:rsidR="00226190" w:rsidRDefault="00226190">
          <w:pPr>
            <w:pStyle w:val="TOC1"/>
            <w:tabs>
              <w:tab w:val="right" w:leader="dot" w:pos="9350"/>
            </w:tabs>
            <w:rPr>
              <w:rFonts w:eastAsiaTheme="minorEastAsia"/>
              <w:noProof/>
            </w:rPr>
          </w:pPr>
          <w:hyperlink w:anchor="_Toc228175331" w:history="1">
            <w:r w:rsidRPr="00A627F4">
              <w:rPr>
                <w:rStyle w:val="Hyperlink"/>
                <w:rFonts w:ascii="Garamond" w:hAnsi="Garamond" w:cs="Times New Roman"/>
                <w:b/>
                <w:bCs/>
                <w:noProof/>
              </w:rPr>
              <w:t>References</w:t>
            </w:r>
            <w:r>
              <w:rPr>
                <w:noProof/>
                <w:webHidden/>
              </w:rPr>
              <w:tab/>
            </w:r>
            <w:r>
              <w:rPr>
                <w:noProof/>
                <w:webHidden/>
              </w:rPr>
              <w:fldChar w:fldCharType="begin"/>
            </w:r>
            <w:r>
              <w:rPr>
                <w:noProof/>
                <w:webHidden/>
              </w:rPr>
              <w:instrText xml:space="preserve"> PAGEREF _Toc228175331 \h </w:instrText>
            </w:r>
            <w:r>
              <w:rPr>
                <w:noProof/>
                <w:webHidden/>
              </w:rPr>
            </w:r>
            <w:r>
              <w:rPr>
                <w:noProof/>
                <w:webHidden/>
              </w:rPr>
              <w:fldChar w:fldCharType="separate"/>
            </w:r>
            <w:r>
              <w:rPr>
                <w:noProof/>
                <w:webHidden/>
              </w:rPr>
              <w:t>33</w:t>
            </w:r>
            <w:r>
              <w:rPr>
                <w:noProof/>
                <w:webHidden/>
              </w:rPr>
              <w:fldChar w:fldCharType="end"/>
            </w:r>
          </w:hyperlink>
        </w:p>
        <w:p w14:paraId="1330D6EA" w14:textId="7D218A01" w:rsidR="00226190" w:rsidRDefault="00226190">
          <w:pPr>
            <w:pStyle w:val="TOC1"/>
            <w:tabs>
              <w:tab w:val="right" w:leader="dot" w:pos="9350"/>
            </w:tabs>
            <w:rPr>
              <w:rFonts w:eastAsiaTheme="minorEastAsia"/>
              <w:noProof/>
            </w:rPr>
          </w:pPr>
          <w:hyperlink w:anchor="_Toc228175332" w:history="1">
            <w:r w:rsidRPr="00A627F4">
              <w:rPr>
                <w:rStyle w:val="Hyperlink"/>
                <w:rFonts w:ascii="Garamond" w:hAnsi="Garamond" w:cs="Times New Roman"/>
                <w:b/>
                <w:bCs/>
                <w:noProof/>
              </w:rPr>
              <w:t>Appendix A</w:t>
            </w:r>
            <w:r>
              <w:rPr>
                <w:noProof/>
                <w:webHidden/>
              </w:rPr>
              <w:tab/>
            </w:r>
            <w:r>
              <w:rPr>
                <w:noProof/>
                <w:webHidden/>
              </w:rPr>
              <w:fldChar w:fldCharType="begin"/>
            </w:r>
            <w:r>
              <w:rPr>
                <w:noProof/>
                <w:webHidden/>
              </w:rPr>
              <w:instrText xml:space="preserve"> PAGEREF _Toc228175332 \h </w:instrText>
            </w:r>
            <w:r>
              <w:rPr>
                <w:noProof/>
                <w:webHidden/>
              </w:rPr>
            </w:r>
            <w:r>
              <w:rPr>
                <w:noProof/>
                <w:webHidden/>
              </w:rPr>
              <w:fldChar w:fldCharType="separate"/>
            </w:r>
            <w:r>
              <w:rPr>
                <w:noProof/>
                <w:webHidden/>
              </w:rPr>
              <w:t>37</w:t>
            </w:r>
            <w:r>
              <w:rPr>
                <w:noProof/>
                <w:webHidden/>
              </w:rPr>
              <w:fldChar w:fldCharType="end"/>
            </w:r>
          </w:hyperlink>
        </w:p>
        <w:p w14:paraId="53B17C7D" w14:textId="597183AF" w:rsidR="00226190" w:rsidRDefault="00226190">
          <w:pPr>
            <w:pStyle w:val="TOC1"/>
            <w:tabs>
              <w:tab w:val="right" w:leader="dot" w:pos="9350"/>
            </w:tabs>
            <w:rPr>
              <w:rFonts w:eastAsiaTheme="minorEastAsia"/>
              <w:noProof/>
            </w:rPr>
          </w:pPr>
          <w:hyperlink w:anchor="_Toc228175333" w:history="1">
            <w:r w:rsidRPr="00A627F4">
              <w:rPr>
                <w:rStyle w:val="Hyperlink"/>
                <w:rFonts w:ascii="Garamond" w:hAnsi="Garamond" w:cs="Times New Roman"/>
                <w:b/>
                <w:bCs/>
                <w:noProof/>
              </w:rPr>
              <w:t>Appendix B</w:t>
            </w:r>
            <w:r>
              <w:rPr>
                <w:noProof/>
                <w:webHidden/>
              </w:rPr>
              <w:tab/>
            </w:r>
            <w:r>
              <w:rPr>
                <w:noProof/>
                <w:webHidden/>
              </w:rPr>
              <w:fldChar w:fldCharType="begin"/>
            </w:r>
            <w:r>
              <w:rPr>
                <w:noProof/>
                <w:webHidden/>
              </w:rPr>
              <w:instrText xml:space="preserve"> PAGEREF _Toc228175333 \h </w:instrText>
            </w:r>
            <w:r>
              <w:rPr>
                <w:noProof/>
                <w:webHidden/>
              </w:rPr>
            </w:r>
            <w:r>
              <w:rPr>
                <w:noProof/>
                <w:webHidden/>
              </w:rPr>
              <w:fldChar w:fldCharType="separate"/>
            </w:r>
            <w:r>
              <w:rPr>
                <w:noProof/>
                <w:webHidden/>
              </w:rPr>
              <w:t>40</w:t>
            </w:r>
            <w:r>
              <w:rPr>
                <w:noProof/>
                <w:webHidden/>
              </w:rPr>
              <w:fldChar w:fldCharType="end"/>
            </w:r>
          </w:hyperlink>
        </w:p>
        <w:p w14:paraId="5B01AB10" w14:textId="09146066" w:rsidR="00226190" w:rsidRDefault="00226190">
          <w:pPr>
            <w:pStyle w:val="TOC1"/>
            <w:tabs>
              <w:tab w:val="right" w:leader="dot" w:pos="9350"/>
            </w:tabs>
            <w:rPr>
              <w:rFonts w:eastAsiaTheme="minorEastAsia"/>
              <w:noProof/>
            </w:rPr>
          </w:pPr>
          <w:hyperlink w:anchor="_Toc228175334" w:history="1">
            <w:r w:rsidRPr="00A627F4">
              <w:rPr>
                <w:rStyle w:val="Hyperlink"/>
                <w:rFonts w:ascii="Garamond" w:hAnsi="Garamond" w:cs="Times New Roman"/>
                <w:b/>
                <w:bCs/>
                <w:noProof/>
              </w:rPr>
              <w:t>Appendix C</w:t>
            </w:r>
            <w:r>
              <w:rPr>
                <w:noProof/>
                <w:webHidden/>
              </w:rPr>
              <w:tab/>
            </w:r>
            <w:r>
              <w:rPr>
                <w:noProof/>
                <w:webHidden/>
              </w:rPr>
              <w:fldChar w:fldCharType="begin"/>
            </w:r>
            <w:r>
              <w:rPr>
                <w:noProof/>
                <w:webHidden/>
              </w:rPr>
              <w:instrText xml:space="preserve"> PAGEREF _Toc228175334 \h </w:instrText>
            </w:r>
            <w:r>
              <w:rPr>
                <w:noProof/>
                <w:webHidden/>
              </w:rPr>
            </w:r>
            <w:r>
              <w:rPr>
                <w:noProof/>
                <w:webHidden/>
              </w:rPr>
              <w:fldChar w:fldCharType="separate"/>
            </w:r>
            <w:r>
              <w:rPr>
                <w:noProof/>
                <w:webHidden/>
              </w:rPr>
              <w:t>41</w:t>
            </w:r>
            <w:r>
              <w:rPr>
                <w:noProof/>
                <w:webHidden/>
              </w:rPr>
              <w:fldChar w:fldCharType="end"/>
            </w:r>
          </w:hyperlink>
        </w:p>
        <w:p w14:paraId="6A0C74FA" w14:textId="6A507F85" w:rsidR="00226190" w:rsidRDefault="00226190">
          <w:pPr>
            <w:pStyle w:val="TOC1"/>
            <w:tabs>
              <w:tab w:val="right" w:leader="dot" w:pos="9350"/>
            </w:tabs>
            <w:rPr>
              <w:rFonts w:eastAsiaTheme="minorEastAsia"/>
              <w:noProof/>
            </w:rPr>
          </w:pPr>
          <w:hyperlink w:anchor="_Toc228175335" w:history="1">
            <w:r w:rsidRPr="00A627F4">
              <w:rPr>
                <w:rStyle w:val="Hyperlink"/>
                <w:rFonts w:ascii="Garamond" w:hAnsi="Garamond" w:cs="Times New Roman"/>
                <w:b/>
                <w:bCs/>
                <w:noProof/>
              </w:rPr>
              <w:t>Appendix D</w:t>
            </w:r>
            <w:r>
              <w:rPr>
                <w:noProof/>
                <w:webHidden/>
              </w:rPr>
              <w:tab/>
            </w:r>
            <w:r>
              <w:rPr>
                <w:noProof/>
                <w:webHidden/>
              </w:rPr>
              <w:fldChar w:fldCharType="begin"/>
            </w:r>
            <w:r>
              <w:rPr>
                <w:noProof/>
                <w:webHidden/>
              </w:rPr>
              <w:instrText xml:space="preserve"> PAGEREF _Toc228175335 \h </w:instrText>
            </w:r>
            <w:r>
              <w:rPr>
                <w:noProof/>
                <w:webHidden/>
              </w:rPr>
            </w:r>
            <w:r>
              <w:rPr>
                <w:noProof/>
                <w:webHidden/>
              </w:rPr>
              <w:fldChar w:fldCharType="separate"/>
            </w:r>
            <w:r>
              <w:rPr>
                <w:noProof/>
                <w:webHidden/>
              </w:rPr>
              <w:t>48</w:t>
            </w:r>
            <w:r>
              <w:rPr>
                <w:noProof/>
                <w:webHidden/>
              </w:rPr>
              <w:fldChar w:fldCharType="end"/>
            </w:r>
          </w:hyperlink>
        </w:p>
        <w:p w14:paraId="7AF097CC" w14:textId="001FFB7A" w:rsidR="00226190" w:rsidRDefault="00226190">
          <w:pPr>
            <w:pStyle w:val="TOC1"/>
            <w:tabs>
              <w:tab w:val="right" w:leader="dot" w:pos="9350"/>
            </w:tabs>
            <w:rPr>
              <w:rFonts w:eastAsiaTheme="minorEastAsia"/>
              <w:noProof/>
            </w:rPr>
          </w:pPr>
          <w:hyperlink w:anchor="_Toc228175336" w:history="1">
            <w:r w:rsidRPr="00A627F4">
              <w:rPr>
                <w:rStyle w:val="Hyperlink"/>
                <w:rFonts w:ascii="Garamond" w:hAnsi="Garamond" w:cs="Times New Roman"/>
                <w:b/>
                <w:bCs/>
                <w:noProof/>
              </w:rPr>
              <w:t>Appendix E</w:t>
            </w:r>
            <w:r>
              <w:rPr>
                <w:noProof/>
                <w:webHidden/>
              </w:rPr>
              <w:tab/>
            </w:r>
            <w:r>
              <w:rPr>
                <w:noProof/>
                <w:webHidden/>
              </w:rPr>
              <w:fldChar w:fldCharType="begin"/>
            </w:r>
            <w:r>
              <w:rPr>
                <w:noProof/>
                <w:webHidden/>
              </w:rPr>
              <w:instrText xml:space="preserve"> PAGEREF _Toc228175336 \h </w:instrText>
            </w:r>
            <w:r>
              <w:rPr>
                <w:noProof/>
                <w:webHidden/>
              </w:rPr>
            </w:r>
            <w:r>
              <w:rPr>
                <w:noProof/>
                <w:webHidden/>
              </w:rPr>
              <w:fldChar w:fldCharType="separate"/>
            </w:r>
            <w:r>
              <w:rPr>
                <w:noProof/>
                <w:webHidden/>
              </w:rPr>
              <w:t>53</w:t>
            </w:r>
            <w:r>
              <w:rPr>
                <w:noProof/>
                <w:webHidden/>
              </w:rPr>
              <w:fldChar w:fldCharType="end"/>
            </w:r>
          </w:hyperlink>
        </w:p>
        <w:p w14:paraId="7AFC6C69" w14:textId="0936647E" w:rsidR="00226190" w:rsidRDefault="00226190">
          <w:pPr>
            <w:pStyle w:val="TOC1"/>
            <w:tabs>
              <w:tab w:val="right" w:leader="dot" w:pos="9350"/>
            </w:tabs>
            <w:rPr>
              <w:rFonts w:eastAsiaTheme="minorEastAsia"/>
              <w:noProof/>
            </w:rPr>
          </w:pPr>
          <w:hyperlink w:anchor="_Toc228175337" w:history="1">
            <w:r w:rsidRPr="00A627F4">
              <w:rPr>
                <w:rStyle w:val="Hyperlink"/>
                <w:rFonts w:ascii="Garamond" w:hAnsi="Garamond" w:cs="Times New Roman"/>
                <w:b/>
                <w:bCs/>
                <w:noProof/>
              </w:rPr>
              <w:t>Appendix F</w:t>
            </w:r>
            <w:r>
              <w:rPr>
                <w:noProof/>
                <w:webHidden/>
              </w:rPr>
              <w:tab/>
            </w:r>
            <w:r>
              <w:rPr>
                <w:noProof/>
                <w:webHidden/>
              </w:rPr>
              <w:fldChar w:fldCharType="begin"/>
            </w:r>
            <w:r>
              <w:rPr>
                <w:noProof/>
                <w:webHidden/>
              </w:rPr>
              <w:instrText xml:space="preserve"> PAGEREF _Toc228175337 \h </w:instrText>
            </w:r>
            <w:r>
              <w:rPr>
                <w:noProof/>
                <w:webHidden/>
              </w:rPr>
            </w:r>
            <w:r>
              <w:rPr>
                <w:noProof/>
                <w:webHidden/>
              </w:rPr>
              <w:fldChar w:fldCharType="separate"/>
            </w:r>
            <w:r>
              <w:rPr>
                <w:noProof/>
                <w:webHidden/>
              </w:rPr>
              <w:t>55</w:t>
            </w:r>
            <w:r>
              <w:rPr>
                <w:noProof/>
                <w:webHidden/>
              </w:rPr>
              <w:fldChar w:fldCharType="end"/>
            </w:r>
          </w:hyperlink>
        </w:p>
        <w:p w14:paraId="40D7E95D" w14:textId="26DF7AC9" w:rsidR="00226190" w:rsidRDefault="00226190">
          <w:pPr>
            <w:pStyle w:val="TOC1"/>
            <w:tabs>
              <w:tab w:val="right" w:leader="dot" w:pos="9350"/>
            </w:tabs>
            <w:rPr>
              <w:rFonts w:eastAsiaTheme="minorEastAsia"/>
              <w:noProof/>
            </w:rPr>
          </w:pPr>
          <w:hyperlink w:anchor="_Toc228175338" w:history="1">
            <w:r w:rsidRPr="00A627F4">
              <w:rPr>
                <w:rStyle w:val="Hyperlink"/>
                <w:rFonts w:ascii="Garamond" w:hAnsi="Garamond" w:cs="Times New Roman"/>
                <w:b/>
                <w:bCs/>
                <w:noProof/>
              </w:rPr>
              <w:t>Appendix G</w:t>
            </w:r>
            <w:r>
              <w:rPr>
                <w:noProof/>
                <w:webHidden/>
              </w:rPr>
              <w:tab/>
            </w:r>
            <w:r>
              <w:rPr>
                <w:noProof/>
                <w:webHidden/>
              </w:rPr>
              <w:fldChar w:fldCharType="begin"/>
            </w:r>
            <w:r>
              <w:rPr>
                <w:noProof/>
                <w:webHidden/>
              </w:rPr>
              <w:instrText xml:space="preserve"> PAGEREF _Toc228175338 \h </w:instrText>
            </w:r>
            <w:r>
              <w:rPr>
                <w:noProof/>
                <w:webHidden/>
              </w:rPr>
            </w:r>
            <w:r>
              <w:rPr>
                <w:noProof/>
                <w:webHidden/>
              </w:rPr>
              <w:fldChar w:fldCharType="separate"/>
            </w:r>
            <w:r>
              <w:rPr>
                <w:noProof/>
                <w:webHidden/>
              </w:rPr>
              <w:t>58</w:t>
            </w:r>
            <w:r>
              <w:rPr>
                <w:noProof/>
                <w:webHidden/>
              </w:rPr>
              <w:fldChar w:fldCharType="end"/>
            </w:r>
          </w:hyperlink>
        </w:p>
        <w:p w14:paraId="362059F2" w14:textId="5DE727DC" w:rsidR="00226190" w:rsidRDefault="00226190">
          <w:pPr>
            <w:pStyle w:val="TOC1"/>
            <w:tabs>
              <w:tab w:val="right" w:leader="dot" w:pos="9350"/>
            </w:tabs>
            <w:rPr>
              <w:rFonts w:eastAsiaTheme="minorEastAsia"/>
              <w:noProof/>
            </w:rPr>
          </w:pPr>
          <w:hyperlink w:anchor="_Toc228175339" w:history="1">
            <w:r w:rsidRPr="00A627F4">
              <w:rPr>
                <w:rStyle w:val="Hyperlink"/>
                <w:rFonts w:ascii="Garamond" w:hAnsi="Garamond" w:cs="Times New Roman"/>
                <w:b/>
                <w:bCs/>
                <w:noProof/>
              </w:rPr>
              <w:t>Appendix H</w:t>
            </w:r>
            <w:r>
              <w:rPr>
                <w:noProof/>
                <w:webHidden/>
              </w:rPr>
              <w:tab/>
            </w:r>
            <w:r>
              <w:rPr>
                <w:noProof/>
                <w:webHidden/>
              </w:rPr>
              <w:fldChar w:fldCharType="begin"/>
            </w:r>
            <w:r>
              <w:rPr>
                <w:noProof/>
                <w:webHidden/>
              </w:rPr>
              <w:instrText xml:space="preserve"> PAGEREF _Toc228175339 \h </w:instrText>
            </w:r>
            <w:r>
              <w:rPr>
                <w:noProof/>
                <w:webHidden/>
              </w:rPr>
            </w:r>
            <w:r>
              <w:rPr>
                <w:noProof/>
                <w:webHidden/>
              </w:rPr>
              <w:fldChar w:fldCharType="separate"/>
            </w:r>
            <w:r>
              <w:rPr>
                <w:noProof/>
                <w:webHidden/>
              </w:rPr>
              <w:t>109</w:t>
            </w:r>
            <w:r>
              <w:rPr>
                <w:noProof/>
                <w:webHidden/>
              </w:rPr>
              <w:fldChar w:fldCharType="end"/>
            </w:r>
          </w:hyperlink>
        </w:p>
        <w:p w14:paraId="54457BE4" w14:textId="1227657E" w:rsidR="00990078" w:rsidRDefault="00982BD6" w:rsidP="00990078">
          <w:pPr>
            <w:rPr>
              <w:rFonts w:ascii="Garamond" w:hAnsi="Garamond"/>
              <w:b/>
              <w:bCs/>
              <w:noProof/>
            </w:rPr>
          </w:pPr>
          <w:r w:rsidRPr="00990078">
            <w:rPr>
              <w:rFonts w:ascii="Garamond" w:hAnsi="Garamond"/>
              <w:b/>
              <w:bCs/>
              <w:noProof/>
            </w:rPr>
            <w:fldChar w:fldCharType="end"/>
          </w:r>
        </w:p>
      </w:sdtContent>
    </w:sdt>
    <w:p w14:paraId="544E9990" w14:textId="77777777" w:rsidR="00226190" w:rsidRDefault="00226190">
      <w:pPr>
        <w:rPr>
          <w:rFonts w:ascii="Garamond" w:hAnsi="Garamond" w:cs="Times New Roman"/>
          <w:b/>
          <w:bCs/>
        </w:rPr>
      </w:pPr>
      <w:r>
        <w:rPr>
          <w:rFonts w:ascii="Garamond" w:hAnsi="Garamond" w:cs="Times New Roman"/>
          <w:b/>
          <w:bCs/>
        </w:rPr>
        <w:br w:type="page"/>
      </w:r>
    </w:p>
    <w:p w14:paraId="444DC883" w14:textId="2DD4B5C9" w:rsidR="00990078" w:rsidRPr="00990078" w:rsidRDefault="00990078" w:rsidP="00990078">
      <w:pPr>
        <w:jc w:val="center"/>
        <w:rPr>
          <w:rFonts w:ascii="Garamond" w:hAnsi="Garamond"/>
        </w:rPr>
      </w:pPr>
      <w:r w:rsidRPr="00990078">
        <w:rPr>
          <w:rFonts w:ascii="Garamond" w:hAnsi="Garamond" w:cs="Times New Roman"/>
          <w:b/>
          <w:bCs/>
        </w:rPr>
        <w:lastRenderedPageBreak/>
        <w:t>Improving Revenue Integrity and Documentation Compliance in Applied Behavior Analysis: A Quality Improvement Initiative to Reduce Medicaid Claim Denials</w:t>
      </w:r>
    </w:p>
    <w:p w14:paraId="68448B3F" w14:textId="434A5D4E"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Documentation accuracy is a critical component of healthcare delivery, particularly within Medicaid-funded services where reimbursement is directly tied to compliance with payer-specific requirements. In Applied Behavior Analysis (ABA) settings, incomplete or inconsistent documentation is a common contributor to claim denials, resulting in delayed reimbursement, increased administrative burden, and potential disruptions in service delivery (Chandramouli, 2021; Johnson et al., 2023; </w:t>
      </w:r>
      <w:proofErr w:type="spellStart"/>
      <w:r w:rsidR="003D515F" w:rsidRPr="00990078">
        <w:rPr>
          <w:rFonts w:ascii="Garamond" w:hAnsi="Garamond" w:cs="Times New Roman"/>
        </w:rPr>
        <w:t>Wagenschieber</w:t>
      </w:r>
      <w:proofErr w:type="spellEnd"/>
      <w:r w:rsidR="003D515F" w:rsidRPr="00990078">
        <w:rPr>
          <w:rFonts w:ascii="Garamond" w:hAnsi="Garamond" w:cs="Times New Roman"/>
        </w:rPr>
        <w:t xml:space="preserve"> &amp; Blunck, 2024). These challenges are especially pronounced in high-volume behavioral health organizations, where variability in staff training, workflow demands, and documentation practices can contribute to inconsistent note quality and preventable billing errors (Fernandez et al., 2023; Kwong et al., 2025).</w:t>
      </w:r>
    </w:p>
    <w:p w14:paraId="289ECBE7" w14:textId="0EB5C352"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Within Medicaid-funded ABA services, documentation serves both clinical and administrative functions. Session notes must accurately reflect the services provided while also meeting payer-specific requirements for reimbursement. When required elements are omitted or documented inconsistently, claims may be denied despite the provision of medically necessary services. As a result, documentation errors represent not only a compliance issue but also a systems-level operational problem that affects financial stability, organizational efficiency, and access to care (Johnson et al., 2023; Levine et al., 2022; O’Malley et al., 2019).</w:t>
      </w:r>
    </w:p>
    <w:p w14:paraId="6F01127D" w14:textId="6E12ECB0"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To address this issue, this project proposes the implementation of a standardized note conversion checklist as the evidence-based intervention (EBI). The checklist is designed to guide clinicians in including all required documentation elements during the note finalization process, thereby reducing variability and improving compliance with Medicaid standards. Structured documentation tools, such as checklists, have been shown to improve consistency, reduce preventable errors, and support more reliable workflow execution across healthcare settings (Bunting &amp; de Klerk, 2022; Etheridge et al., 2024; Haynes et al., 2009; Kramer et al., 2017). Evidence </w:t>
      </w:r>
      <w:r w:rsidR="003D515F" w:rsidRPr="00990078">
        <w:rPr>
          <w:rFonts w:ascii="Garamond" w:hAnsi="Garamond" w:cs="Times New Roman"/>
        </w:rPr>
        <w:lastRenderedPageBreak/>
        <w:t>within behavioral health and ABA-related documentation also supports the use of structured note supports to improve completeness and objectivity in clinical documentation (Luna et al., 201</w:t>
      </w:r>
      <w:r w:rsidR="00D77474" w:rsidRPr="00990078">
        <w:rPr>
          <w:rFonts w:ascii="Garamond" w:hAnsi="Garamond" w:cs="Times New Roman"/>
        </w:rPr>
        <w:t>8</w:t>
      </w:r>
      <w:r w:rsidR="003D515F" w:rsidRPr="00990078">
        <w:rPr>
          <w:rFonts w:ascii="Garamond" w:hAnsi="Garamond" w:cs="Times New Roman"/>
        </w:rPr>
        <w:t>).</w:t>
      </w:r>
    </w:p>
    <w:p w14:paraId="172F40BF" w14:textId="670F1C36"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effectiveness of this intervention will be evaluated using both documentation compliance and claim denial outcomes. The primary measurement tool is the Documentation Compliance Audit Tool (DCAT), which will be used to assess the completeness and accuracy of session documentation. In addition, claim denial rates related to documentation errors will be tracked using data extracted from the organization’s electronic health record system. Together, these measures provide both process and outcome indicators of intervention effectiveness and align with quality improvement approaches used to evaluate documentation-focused operational change (Khalili &amp; El-</w:t>
      </w:r>
      <w:proofErr w:type="spellStart"/>
      <w:r w:rsidR="003D515F" w:rsidRPr="00990078">
        <w:rPr>
          <w:rFonts w:ascii="Garamond" w:hAnsi="Garamond" w:cs="Times New Roman"/>
        </w:rPr>
        <w:t>Dakhakhni</w:t>
      </w:r>
      <w:proofErr w:type="spellEnd"/>
      <w:r w:rsidR="003D515F" w:rsidRPr="00990078">
        <w:rPr>
          <w:rFonts w:ascii="Garamond" w:hAnsi="Garamond" w:cs="Times New Roman"/>
        </w:rPr>
        <w:t>, 2023; Levine et al., 2022).</w:t>
      </w:r>
    </w:p>
    <w:p w14:paraId="238E160E" w14:textId="69E0ACF4"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purpose of this project is to determine whether implementation of a standardized documentation checklist improves documentation compliance and reduces Medicaid claim denials within an ABA organization. The following literature review examines existing research related to documentation quality, claim denials, and the use of structured tools to improve healthcare processes, providing a foundation for the proposed intervention and implementation approach.</w:t>
      </w:r>
    </w:p>
    <w:p w14:paraId="1DC245FC" w14:textId="77777777" w:rsidR="00DD4520" w:rsidRPr="00990078" w:rsidRDefault="00DD4520" w:rsidP="00F04DDE">
      <w:pPr>
        <w:pStyle w:val="Heading1"/>
        <w:jc w:val="center"/>
        <w:rPr>
          <w:rFonts w:ascii="Garamond" w:hAnsi="Garamond" w:cs="Times New Roman"/>
          <w:b/>
          <w:bCs/>
          <w:color w:val="auto"/>
          <w:sz w:val="24"/>
          <w:szCs w:val="24"/>
          <w:lang w:val="en"/>
        </w:rPr>
      </w:pPr>
      <w:bookmarkStart w:id="0" w:name="_Toc228175307"/>
      <w:r w:rsidRPr="00990078">
        <w:rPr>
          <w:rFonts w:ascii="Garamond" w:hAnsi="Garamond" w:cs="Times New Roman"/>
          <w:b/>
          <w:bCs/>
          <w:color w:val="auto"/>
          <w:sz w:val="24"/>
          <w:szCs w:val="24"/>
          <w:lang w:val="en"/>
        </w:rPr>
        <w:t>Literature Review</w:t>
      </w:r>
      <w:bookmarkEnd w:id="0"/>
    </w:p>
    <w:p w14:paraId="4103974F" w14:textId="621A774C" w:rsidR="00DD4520" w:rsidRPr="00990078" w:rsidRDefault="00DD4520" w:rsidP="00DF487E">
      <w:pPr>
        <w:spacing w:after="0" w:line="480" w:lineRule="auto"/>
        <w:rPr>
          <w:rFonts w:ascii="Garamond" w:hAnsi="Garamond" w:cs="Times New Roman"/>
          <w:lang w:val="en"/>
        </w:rPr>
      </w:pPr>
      <w:r w:rsidRPr="00990078">
        <w:rPr>
          <w:rFonts w:ascii="Garamond" w:hAnsi="Garamond" w:cs="Times New Roman"/>
          <w:lang w:val="en"/>
        </w:rPr>
        <w:tab/>
        <w:t xml:space="preserve">In integrated healthcare, insurance claim denials represent a persistent barrier, disrupting continuity of care, delaying reimbursement, and undermining provider sustainability (Johnson et al., 2023; Muralidharan et al., 2025; </w:t>
      </w:r>
      <w:proofErr w:type="spellStart"/>
      <w:r w:rsidRPr="00990078">
        <w:rPr>
          <w:rFonts w:ascii="Garamond" w:hAnsi="Garamond" w:cs="Times New Roman"/>
          <w:lang w:val="en"/>
        </w:rPr>
        <w:t>Wagenschieber</w:t>
      </w:r>
      <w:proofErr w:type="spellEnd"/>
      <w:r w:rsidRPr="00990078">
        <w:rPr>
          <w:rFonts w:ascii="Garamond" w:hAnsi="Garamond" w:cs="Times New Roman"/>
          <w:lang w:val="en"/>
        </w:rPr>
        <w:t xml:space="preserve"> &amp; Blunck, 2024). In Indiana’s Medicaid-funded applied behavior analysis (ABA) services, denials often stem from incomplete documentation, coding errors, and misapplied payer policies. Claim denials are both common and costly, with Medicare Advantage rejecting nearly one in six initial claims and Medicaid denials contributing to higher downstream utilization and spending (Muralidharan et al., 2025; </w:t>
      </w:r>
      <w:proofErr w:type="spellStart"/>
      <w:r w:rsidRPr="00990078">
        <w:rPr>
          <w:rFonts w:ascii="Garamond" w:hAnsi="Garamond" w:cs="Times New Roman"/>
          <w:lang w:val="en"/>
        </w:rPr>
        <w:t>Vabson</w:t>
      </w:r>
      <w:proofErr w:type="spellEnd"/>
      <w:r w:rsidRPr="00990078">
        <w:rPr>
          <w:rFonts w:ascii="Garamond" w:hAnsi="Garamond" w:cs="Times New Roman"/>
          <w:lang w:val="en"/>
        </w:rPr>
        <w:t xml:space="preserve"> et al., 2025). Denial patterns are closely linked to documentation and coding problems, suggesting that structured </w:t>
      </w:r>
      <w:r w:rsidRPr="00990078">
        <w:rPr>
          <w:rFonts w:ascii="Garamond" w:hAnsi="Garamond" w:cs="Times New Roman"/>
          <w:lang w:val="en"/>
        </w:rPr>
        <w:lastRenderedPageBreak/>
        <w:t>interventions could prevent many of them (Chandramouli, 2021; Johnson et al., 2023). These barriers weaken provider finances and restrict access to behavioral health services, underscoring the need for evidence-based solutions.</w:t>
      </w:r>
    </w:p>
    <w:p w14:paraId="41D08578" w14:textId="439DACC0" w:rsidR="00DD4520" w:rsidRPr="00990078" w:rsidRDefault="00DD4520" w:rsidP="00DF487E">
      <w:pPr>
        <w:spacing w:after="0" w:line="480" w:lineRule="auto"/>
        <w:rPr>
          <w:rFonts w:ascii="Garamond" w:hAnsi="Garamond" w:cs="Times New Roman"/>
          <w:lang w:val="en"/>
        </w:rPr>
      </w:pPr>
      <w:r w:rsidRPr="00990078">
        <w:rPr>
          <w:rFonts w:ascii="Garamond" w:hAnsi="Garamond" w:cs="Times New Roman"/>
          <w:lang w:val="en"/>
        </w:rPr>
        <w:tab/>
        <w:t>A note conversion checklist is a structured documentation tool used by applied behavior analysis (ABA) providers to translate clinical session notes into formats that meet payer requirements. It standardizes language, ensures inclusion of required elements, and reduces variability across clinicians, addressing common triggers for claim denials (</w:t>
      </w:r>
      <w:r w:rsidR="00C210C2" w:rsidRPr="00990078">
        <w:rPr>
          <w:rFonts w:ascii="Garamond" w:hAnsi="Garamond" w:cs="Times New Roman"/>
        </w:rPr>
        <w:t>O’Malley et al., 2019</w:t>
      </w:r>
      <w:r w:rsidRPr="00990078">
        <w:rPr>
          <w:rFonts w:ascii="Garamond" w:hAnsi="Garamond" w:cs="Times New Roman"/>
          <w:lang w:val="en"/>
        </w:rPr>
        <w:t>). Using such a tool helps providers produce more accurate and defensible documentation and supports consistent adherence to Medicaid policies across staff.</w:t>
      </w:r>
    </w:p>
    <w:p w14:paraId="779D2947" w14:textId="7B1635E4" w:rsidR="00DD4520" w:rsidRPr="00990078" w:rsidRDefault="00DD4520" w:rsidP="00DF487E">
      <w:pPr>
        <w:spacing w:after="0" w:line="480" w:lineRule="auto"/>
        <w:rPr>
          <w:rFonts w:ascii="Garamond" w:hAnsi="Garamond" w:cs="Times New Roman"/>
          <w:lang w:val="en"/>
        </w:rPr>
      </w:pPr>
      <w:r w:rsidRPr="00990078">
        <w:rPr>
          <w:rFonts w:ascii="Garamond" w:hAnsi="Garamond" w:cs="Times New Roman"/>
          <w:lang w:val="en"/>
        </w:rPr>
        <w:tab/>
        <w:t>Adopting a standardized note conversion checklist aligned with payer requirements offers a strategy to reduce preventable denials and strengthen revenue integrity in Medicaid-funded ABA (Luna et al., 2018; Levine et al., 2022). Evidence across healthcare shows that checklists improve compliance, accuracy, and workflow reliability (Bunting &amp; de Klerk, 2022; Etheridge et al., 2024; Kwong et al., 2025; Kramer et al., 2017). In ABA, structured documentation tools increase objectivity and completeness, reducing common denial triggers (</w:t>
      </w:r>
      <w:r w:rsidR="00C210C2" w:rsidRPr="00990078">
        <w:rPr>
          <w:rFonts w:ascii="Garamond" w:hAnsi="Garamond" w:cs="Times New Roman"/>
        </w:rPr>
        <w:t xml:space="preserve">Bunting &amp; de Klerk, 2022). </w:t>
      </w:r>
      <w:r w:rsidRPr="00990078">
        <w:rPr>
          <w:rFonts w:ascii="Garamond" w:hAnsi="Garamond" w:cs="Times New Roman"/>
          <w:lang w:val="en"/>
        </w:rPr>
        <w:t>Together, these findings support the checklist as an intervention to improve documentation, treatment fidelity, and long-term sustainability in integrated care delivery.</w:t>
      </w:r>
    </w:p>
    <w:p w14:paraId="63457D14" w14:textId="77777777" w:rsidR="00DD4520" w:rsidRPr="00990078" w:rsidRDefault="00DD4520" w:rsidP="00F04DDE">
      <w:pPr>
        <w:pStyle w:val="Heading2"/>
        <w:rPr>
          <w:rFonts w:ascii="Garamond" w:hAnsi="Garamond" w:cs="Times New Roman"/>
          <w:b/>
          <w:bCs/>
          <w:color w:val="auto"/>
          <w:sz w:val="24"/>
          <w:szCs w:val="24"/>
          <w:lang w:val="en"/>
        </w:rPr>
      </w:pPr>
      <w:bookmarkStart w:id="1" w:name="_Toc228175308"/>
      <w:r w:rsidRPr="00990078">
        <w:rPr>
          <w:rFonts w:ascii="Garamond" w:hAnsi="Garamond" w:cs="Times New Roman"/>
          <w:b/>
          <w:bCs/>
          <w:color w:val="auto"/>
          <w:sz w:val="24"/>
          <w:szCs w:val="24"/>
          <w:lang w:val="en"/>
        </w:rPr>
        <w:t>Claim Denial Rate</w:t>
      </w:r>
      <w:bookmarkEnd w:id="1"/>
    </w:p>
    <w:p w14:paraId="7BDC64DE" w14:textId="15ECD2ED" w:rsidR="00DD4520" w:rsidRPr="00990078" w:rsidRDefault="00DD4520" w:rsidP="00DF487E">
      <w:pPr>
        <w:spacing w:after="0" w:line="480" w:lineRule="auto"/>
        <w:rPr>
          <w:rFonts w:ascii="Garamond" w:hAnsi="Garamond" w:cs="Times New Roman"/>
          <w:lang w:val="en"/>
        </w:rPr>
      </w:pPr>
      <w:r w:rsidRPr="00990078">
        <w:rPr>
          <w:rFonts w:ascii="Garamond" w:hAnsi="Garamond" w:cs="Times New Roman"/>
          <w:lang w:val="en"/>
        </w:rPr>
        <w:tab/>
        <w:t xml:space="preserve">Claim denials remain a major obstacle in integrated healthcare, disrupting care quality, straining finances, and limiting patient access (Johnson et al., 2023; </w:t>
      </w:r>
      <w:proofErr w:type="spellStart"/>
      <w:r w:rsidRPr="00990078">
        <w:rPr>
          <w:rFonts w:ascii="Garamond" w:hAnsi="Garamond" w:cs="Times New Roman"/>
          <w:lang w:val="en"/>
        </w:rPr>
        <w:t>Wagenschieber</w:t>
      </w:r>
      <w:proofErr w:type="spellEnd"/>
      <w:r w:rsidRPr="00990078">
        <w:rPr>
          <w:rFonts w:ascii="Garamond" w:hAnsi="Garamond" w:cs="Times New Roman"/>
          <w:lang w:val="en"/>
        </w:rPr>
        <w:t xml:space="preserve"> &amp; Blunck, 2024). Large-scale data confirm their prevalence: Medicare Advantage denies nearly one in six initial claims, and Medicaid denials often result in downstream utilization and higher costs rather than savings (Muralidharan et al., 2025; </w:t>
      </w:r>
      <w:proofErr w:type="spellStart"/>
      <w:r w:rsidRPr="00990078">
        <w:rPr>
          <w:rFonts w:ascii="Garamond" w:hAnsi="Garamond" w:cs="Times New Roman"/>
          <w:lang w:val="en"/>
        </w:rPr>
        <w:t>Vabson</w:t>
      </w:r>
      <w:proofErr w:type="spellEnd"/>
      <w:r w:rsidRPr="00990078">
        <w:rPr>
          <w:rFonts w:ascii="Garamond" w:hAnsi="Garamond" w:cs="Times New Roman"/>
          <w:lang w:val="en"/>
        </w:rPr>
        <w:t xml:space="preserve"> et al., 2025). Denials follow consistent patterns tied to documentation errors, coding inconsistencies, and payer requirements, making them both </w:t>
      </w:r>
      <w:r w:rsidRPr="00990078">
        <w:rPr>
          <w:rFonts w:ascii="Garamond" w:hAnsi="Garamond" w:cs="Times New Roman"/>
          <w:lang w:val="en"/>
        </w:rPr>
        <w:lastRenderedPageBreak/>
        <w:t xml:space="preserve">measurable and preventable (Chandramouli, 2021; Johnson et al., 2023; </w:t>
      </w:r>
      <w:proofErr w:type="spellStart"/>
      <w:r w:rsidRPr="00990078">
        <w:rPr>
          <w:rFonts w:ascii="Garamond" w:hAnsi="Garamond" w:cs="Times New Roman"/>
          <w:lang w:val="en"/>
        </w:rPr>
        <w:t>Wagenschieber</w:t>
      </w:r>
      <w:proofErr w:type="spellEnd"/>
      <w:r w:rsidRPr="00990078">
        <w:rPr>
          <w:rFonts w:ascii="Garamond" w:hAnsi="Garamond" w:cs="Times New Roman"/>
          <w:lang w:val="en"/>
        </w:rPr>
        <w:t xml:space="preserve"> &amp; Blunck, 2024).</w:t>
      </w:r>
    </w:p>
    <w:p w14:paraId="51169B79" w14:textId="5821E82C" w:rsidR="00DD4520" w:rsidRPr="00990078" w:rsidRDefault="00DD4520" w:rsidP="00DF487E">
      <w:pPr>
        <w:spacing w:after="0" w:line="480" w:lineRule="auto"/>
        <w:rPr>
          <w:rFonts w:ascii="Garamond" w:hAnsi="Garamond" w:cs="Times New Roman"/>
          <w:lang w:val="en"/>
        </w:rPr>
      </w:pPr>
      <w:r w:rsidRPr="00990078">
        <w:rPr>
          <w:rFonts w:ascii="Garamond" w:hAnsi="Garamond" w:cs="Times New Roman"/>
          <w:lang w:val="en"/>
        </w:rPr>
        <w:tab/>
        <w:t>Within ABA, denials are intensified by payer practices and provider-level errors (</w:t>
      </w:r>
      <w:r w:rsidR="00AB4806" w:rsidRPr="00990078">
        <w:rPr>
          <w:rFonts w:ascii="Garamond" w:hAnsi="Garamond" w:cs="Times New Roman"/>
        </w:rPr>
        <w:t>Johnson et al., 2023)</w:t>
      </w:r>
      <w:r w:rsidRPr="00990078">
        <w:rPr>
          <w:rFonts w:ascii="Garamond" w:hAnsi="Garamond" w:cs="Times New Roman"/>
          <w:lang w:val="en"/>
        </w:rPr>
        <w:t>; Luna et al., 2018). Insurers sometimes misuse Medically Unlikely Edits to restrict services (</w:t>
      </w:r>
      <w:r w:rsidR="00AB4806" w:rsidRPr="00990078">
        <w:rPr>
          <w:rFonts w:ascii="Garamond" w:hAnsi="Garamond" w:cs="Times New Roman"/>
        </w:rPr>
        <w:t>Johnson et al., 2023</w:t>
      </w:r>
      <w:r w:rsidRPr="00990078">
        <w:rPr>
          <w:rFonts w:ascii="Garamond" w:hAnsi="Garamond" w:cs="Times New Roman"/>
          <w:lang w:val="en"/>
        </w:rPr>
        <w:t>), while incomplete or subjective session notes remain common triggers for rejection (</w:t>
      </w:r>
      <w:r w:rsidR="00C210C2" w:rsidRPr="00990078">
        <w:rPr>
          <w:rFonts w:ascii="Garamond" w:hAnsi="Garamond" w:cs="Times New Roman"/>
        </w:rPr>
        <w:t>CMS, 2015</w:t>
      </w:r>
      <w:r w:rsidRPr="00990078">
        <w:rPr>
          <w:rFonts w:ascii="Garamond" w:hAnsi="Garamond" w:cs="Times New Roman"/>
          <w:lang w:val="en"/>
        </w:rPr>
        <w:t>). These combined factors, including policy restrictions at the payer level and documentation challenges within organizations, make claim denial rate a sensitive indicator of both service quality and financial sustainability in Medicaid-funded ABA (Chandramouli, 2021; Johnson et al., 2023).</w:t>
      </w:r>
    </w:p>
    <w:p w14:paraId="6B57507D" w14:textId="77777777" w:rsidR="00DD4520" w:rsidRPr="00990078" w:rsidRDefault="00DD4520" w:rsidP="00F04DDE">
      <w:pPr>
        <w:pStyle w:val="Heading2"/>
        <w:rPr>
          <w:rFonts w:ascii="Garamond" w:hAnsi="Garamond" w:cs="Times New Roman"/>
          <w:b/>
          <w:bCs/>
          <w:color w:val="auto"/>
          <w:sz w:val="24"/>
          <w:szCs w:val="24"/>
          <w:lang w:val="en"/>
        </w:rPr>
      </w:pPr>
      <w:bookmarkStart w:id="2" w:name="_Toc228175309"/>
      <w:r w:rsidRPr="00990078">
        <w:rPr>
          <w:rFonts w:ascii="Garamond" w:hAnsi="Garamond" w:cs="Times New Roman"/>
          <w:b/>
          <w:bCs/>
          <w:color w:val="auto"/>
          <w:sz w:val="24"/>
          <w:szCs w:val="24"/>
          <w:lang w:val="en"/>
        </w:rPr>
        <w:t>Standardized Note Conversion Checklist</w:t>
      </w:r>
      <w:bookmarkEnd w:id="2"/>
    </w:p>
    <w:p w14:paraId="0FB7BBF5" w14:textId="622FFA87" w:rsidR="00DD4520" w:rsidRPr="00990078" w:rsidRDefault="00DD4520" w:rsidP="00DF487E">
      <w:pPr>
        <w:spacing w:after="0" w:line="480" w:lineRule="auto"/>
        <w:rPr>
          <w:rFonts w:ascii="Garamond" w:hAnsi="Garamond" w:cs="Times New Roman"/>
          <w:lang w:val="en"/>
        </w:rPr>
      </w:pPr>
      <w:r w:rsidRPr="00990078">
        <w:rPr>
          <w:rFonts w:ascii="Garamond" w:hAnsi="Garamond" w:cs="Times New Roman"/>
          <w:lang w:val="en"/>
        </w:rPr>
        <w:tab/>
        <w:t>Checklists consistently improve accuracy, reliability, and standardization across healthcare, with surgical safety tools reducing complications and mortality when supported by team engagement and leadership (Cavalcanti et al., 2016; Etheridge et al., 2024; Haynes et al., 2009; Treadwell et al., 2014). Checklists are most effective when collaboratively designed, integrated into daily workflow, and supported by active end-user participation, factors that improve adoption and sustainability (Bunting &amp; de Klerk, 2022; Kramer et al., 2017; Kwong et al., 2025).</w:t>
      </w:r>
    </w:p>
    <w:p w14:paraId="16B252E4" w14:textId="35F3F8F9" w:rsidR="00DD4520" w:rsidRPr="00990078" w:rsidRDefault="00DD4520" w:rsidP="00DF487E">
      <w:pPr>
        <w:spacing w:after="0" w:line="480" w:lineRule="auto"/>
        <w:rPr>
          <w:rFonts w:ascii="Garamond" w:hAnsi="Garamond" w:cs="Times New Roman"/>
          <w:lang w:val="en"/>
        </w:rPr>
      </w:pPr>
      <w:r w:rsidRPr="00990078">
        <w:rPr>
          <w:rFonts w:ascii="Garamond" w:hAnsi="Garamond" w:cs="Times New Roman"/>
          <w:lang w:val="en"/>
        </w:rPr>
        <w:tab/>
        <w:t>These outcomes extend to ABA, where structured note checklists strengthen objectivity and completeness, and performance-focused tools such as the Performance Diagnostic Checklist–Human help identify barriers to accurate implementation (</w:t>
      </w:r>
      <w:r w:rsidR="00C210C2" w:rsidRPr="00990078">
        <w:rPr>
          <w:rFonts w:ascii="Garamond" w:hAnsi="Garamond" w:cs="Times New Roman"/>
        </w:rPr>
        <w:t xml:space="preserve">Damschroder et al., 2022). </w:t>
      </w:r>
      <w:r w:rsidRPr="00990078">
        <w:rPr>
          <w:rFonts w:ascii="Garamond" w:hAnsi="Garamond" w:cs="Times New Roman"/>
          <w:lang w:val="en"/>
        </w:rPr>
        <w:t xml:space="preserve">Benefits are also evident in billing and claims processes, where structured checklists have lowered denial rates, improved accuracy, and produced measurable cost savings in hospital and pharmacy settings (Levine et al., 2022). Together, these findings support the checklist as an intervention to improve documentation accuracy, reduce preventable claim denials, strengthen treatment fidelity, and enhance long-term financial sustainability in integrated care delivery. A standardized note conversion </w:t>
      </w:r>
      <w:r w:rsidRPr="00990078">
        <w:rPr>
          <w:rFonts w:ascii="Garamond" w:hAnsi="Garamond" w:cs="Times New Roman"/>
          <w:lang w:val="en"/>
        </w:rPr>
        <w:lastRenderedPageBreak/>
        <w:t>checklist can serve as a practical strategy to reduce denials, enhance documentation quality, and protect revenue integrity in Medicaid-funded ABA (Luna et al., 2018; Levine et al., 2022).</w:t>
      </w:r>
    </w:p>
    <w:p w14:paraId="5222A0BC" w14:textId="77777777" w:rsidR="00DD4520" w:rsidRPr="00990078" w:rsidRDefault="00DD4520" w:rsidP="00F04DDE">
      <w:pPr>
        <w:pStyle w:val="Heading2"/>
        <w:rPr>
          <w:rFonts w:ascii="Garamond" w:hAnsi="Garamond" w:cs="Times New Roman"/>
          <w:b/>
          <w:bCs/>
          <w:color w:val="auto"/>
          <w:sz w:val="24"/>
          <w:szCs w:val="24"/>
          <w:lang w:val="en"/>
        </w:rPr>
      </w:pPr>
      <w:bookmarkStart w:id="3" w:name="_Toc228175310"/>
      <w:r w:rsidRPr="00990078">
        <w:rPr>
          <w:rFonts w:ascii="Garamond" w:hAnsi="Garamond" w:cs="Times New Roman"/>
          <w:b/>
          <w:bCs/>
          <w:color w:val="auto"/>
          <w:sz w:val="24"/>
          <w:szCs w:val="24"/>
          <w:lang w:val="en"/>
        </w:rPr>
        <w:t>Anticipated Outcomes</w:t>
      </w:r>
      <w:bookmarkEnd w:id="3"/>
    </w:p>
    <w:p w14:paraId="157D3713" w14:textId="1134C9DC" w:rsidR="00DD4520" w:rsidRPr="00990078" w:rsidRDefault="00DD4520" w:rsidP="00DF487E">
      <w:pPr>
        <w:spacing w:after="0" w:line="480" w:lineRule="auto"/>
        <w:rPr>
          <w:rFonts w:ascii="Garamond" w:hAnsi="Garamond" w:cs="Times New Roman"/>
          <w:lang w:val="en"/>
        </w:rPr>
      </w:pPr>
      <w:r w:rsidRPr="00990078">
        <w:rPr>
          <w:rFonts w:ascii="Garamond" w:hAnsi="Garamond" w:cs="Times New Roman"/>
          <w:lang w:val="en"/>
        </w:rPr>
        <w:tab/>
        <w:t xml:space="preserve">Checklist use produces benefits across clinical, financial, and organizational domains. In clinical practice, documentation becomes more accurate and complete, directly addressing one of the most common denial triggers (Bunting &amp; de Klerk, 2022; </w:t>
      </w:r>
      <w:r w:rsidR="00C210C2" w:rsidRPr="00990078">
        <w:rPr>
          <w:rFonts w:ascii="Garamond" w:hAnsi="Garamond" w:cs="Times New Roman"/>
        </w:rPr>
        <w:t>Levine et al., 2022</w:t>
      </w:r>
      <w:r w:rsidR="00D77474" w:rsidRPr="00990078">
        <w:rPr>
          <w:rFonts w:ascii="Garamond" w:hAnsi="Garamond" w:cs="Times New Roman"/>
          <w:lang w:val="en"/>
        </w:rPr>
        <w:t xml:space="preserve">). </w:t>
      </w:r>
      <w:r w:rsidRPr="00990078">
        <w:rPr>
          <w:rFonts w:ascii="Garamond" w:hAnsi="Garamond" w:cs="Times New Roman"/>
          <w:lang w:val="en"/>
        </w:rPr>
        <w:t>Financially, checklists reduce rejections, lower rework costs, and increase revenue capture, with evidence from surgical and pharmacy contexts showing substantial savings even with modest improvements (Levine et al., 2022; Semel et al., 2010). Predictive modeling further demonstrates that proactive denial prevention reduces administrative burden and stabilizes cash flow (Chandramouli, 2021; Johnson et al., 2023).</w:t>
      </w:r>
    </w:p>
    <w:p w14:paraId="7FB68128" w14:textId="1059F61D" w:rsidR="00DD4520" w:rsidRPr="00990078" w:rsidRDefault="00DF487E" w:rsidP="00DF487E">
      <w:pPr>
        <w:spacing w:after="0" w:line="480" w:lineRule="auto"/>
        <w:rPr>
          <w:rFonts w:ascii="Garamond" w:hAnsi="Garamond" w:cs="Times New Roman"/>
          <w:lang w:val="en"/>
        </w:rPr>
      </w:pPr>
      <w:r w:rsidRPr="00990078">
        <w:rPr>
          <w:rFonts w:ascii="Garamond" w:hAnsi="Garamond" w:cs="Times New Roman"/>
          <w:lang w:val="en"/>
        </w:rPr>
        <w:tab/>
      </w:r>
      <w:r w:rsidR="00DD4520" w:rsidRPr="00990078">
        <w:rPr>
          <w:rFonts w:ascii="Garamond" w:hAnsi="Garamond" w:cs="Times New Roman"/>
          <w:lang w:val="en"/>
        </w:rPr>
        <w:t>At the organizational level, checklists strengthen accountability and consistency, reducing staff variability and supporting adherence to documentation standards (Kramer et al., 2017; Kwong et al., 2025). Across healthcare and ABA, these outcomes translate into fewer preventable denials, improved financial performance, and enhanced treatment fidelity.</w:t>
      </w:r>
    </w:p>
    <w:p w14:paraId="1785D0A6" w14:textId="77777777" w:rsidR="00DD4520" w:rsidRPr="00990078" w:rsidRDefault="00DD4520" w:rsidP="00F04DDE">
      <w:pPr>
        <w:pStyle w:val="Heading2"/>
        <w:rPr>
          <w:rFonts w:ascii="Garamond" w:hAnsi="Garamond" w:cs="Times New Roman"/>
          <w:b/>
          <w:bCs/>
          <w:color w:val="auto"/>
          <w:sz w:val="24"/>
          <w:szCs w:val="24"/>
          <w:lang w:val="en"/>
        </w:rPr>
      </w:pPr>
      <w:bookmarkStart w:id="4" w:name="_Toc228175311"/>
      <w:r w:rsidRPr="00990078">
        <w:rPr>
          <w:rFonts w:ascii="Garamond" w:hAnsi="Garamond" w:cs="Times New Roman"/>
          <w:b/>
          <w:bCs/>
          <w:color w:val="auto"/>
          <w:sz w:val="24"/>
          <w:szCs w:val="24"/>
          <w:lang w:val="en"/>
        </w:rPr>
        <w:t>Gaps in the Literature</w:t>
      </w:r>
      <w:bookmarkEnd w:id="4"/>
    </w:p>
    <w:p w14:paraId="03A22030" w14:textId="2E18F3EA" w:rsidR="00DD4520" w:rsidRPr="00990078" w:rsidRDefault="00DD4520" w:rsidP="00DF487E">
      <w:pPr>
        <w:spacing w:after="0" w:line="480" w:lineRule="auto"/>
        <w:rPr>
          <w:rFonts w:ascii="Garamond" w:hAnsi="Garamond" w:cs="Times New Roman"/>
          <w:lang w:val="en"/>
        </w:rPr>
      </w:pPr>
      <w:r w:rsidRPr="00990078">
        <w:rPr>
          <w:rFonts w:ascii="Garamond" w:hAnsi="Garamond" w:cs="Times New Roman"/>
          <w:lang w:val="en"/>
        </w:rPr>
        <w:tab/>
        <w:t>Despite strong evidence for checklist effectiveness, important gaps remain. Most studies focus on hospital and surgical settings, while applications in behavioral health and ABA are limited (Luna et al., 2018</w:t>
      </w:r>
      <w:r w:rsidR="00D77474" w:rsidRPr="00990078">
        <w:rPr>
          <w:rFonts w:ascii="Garamond" w:hAnsi="Garamond" w:cs="Times New Roman"/>
          <w:lang w:val="en"/>
        </w:rPr>
        <w:t xml:space="preserve">). </w:t>
      </w:r>
      <w:r w:rsidRPr="00990078">
        <w:rPr>
          <w:rFonts w:ascii="Garamond" w:hAnsi="Garamond" w:cs="Times New Roman"/>
          <w:lang w:val="en"/>
        </w:rPr>
        <w:t xml:space="preserve">This limits generalizability, since reimbursement structures and workflows differ across contexts. Hospital-based analyses confirm that checklists are cost-effective (Levine et al., 2022; Semel et al., 2010), but little evidence addresses whether similar returns occur in ABA, where margins are narrower. Many evaluations are short-term, leaving questions about sustainability over time (Cavalcanti et al., 2016; Treadwell et al., 2014). Inconsistent adherence to even widely implemented tools such as the World Health </w:t>
      </w:r>
      <w:r w:rsidRPr="00990078">
        <w:rPr>
          <w:rFonts w:ascii="Garamond" w:hAnsi="Garamond" w:cs="Times New Roman"/>
          <w:lang w:val="en"/>
        </w:rPr>
        <w:tab/>
        <w:t xml:space="preserve">Organization’s surgical safety checklist reinforces this concern, with variation in use mirroring the challenges of maintaining long-term fidelity (Cavalcanti </w:t>
      </w:r>
      <w:r w:rsidRPr="00990078">
        <w:rPr>
          <w:rFonts w:ascii="Garamond" w:hAnsi="Garamond" w:cs="Times New Roman"/>
          <w:lang w:val="en"/>
        </w:rPr>
        <w:lastRenderedPageBreak/>
        <w:t xml:space="preserve">et al., 2016; </w:t>
      </w:r>
      <w:proofErr w:type="spellStart"/>
      <w:r w:rsidRPr="00990078">
        <w:rPr>
          <w:rFonts w:ascii="Garamond" w:hAnsi="Garamond" w:cs="Times New Roman"/>
          <w:lang w:val="en"/>
        </w:rPr>
        <w:t>Habtie</w:t>
      </w:r>
      <w:proofErr w:type="spellEnd"/>
      <w:r w:rsidRPr="00990078">
        <w:rPr>
          <w:rFonts w:ascii="Garamond" w:hAnsi="Garamond" w:cs="Times New Roman"/>
          <w:lang w:val="en"/>
        </w:rPr>
        <w:t xml:space="preserve"> et al., 2025; Treadwell et al., 2014). While most evaluations report positive outcomes, findings on adherence are inconsistent, with some studies showing partial or uneven checklist use that limited long-term effectiveness (</w:t>
      </w:r>
      <w:proofErr w:type="spellStart"/>
      <w:r w:rsidRPr="00990078">
        <w:rPr>
          <w:rFonts w:ascii="Garamond" w:hAnsi="Garamond" w:cs="Times New Roman"/>
          <w:lang w:val="en"/>
        </w:rPr>
        <w:t>Habtie</w:t>
      </w:r>
      <w:proofErr w:type="spellEnd"/>
      <w:r w:rsidRPr="00990078">
        <w:rPr>
          <w:rFonts w:ascii="Garamond" w:hAnsi="Garamond" w:cs="Times New Roman"/>
          <w:lang w:val="en"/>
        </w:rPr>
        <w:t xml:space="preserve"> et al., 2025; Treadwell et al., 2014). Effective implementation therefore requires monitoring, accountability, and adaptation to context, which remains underexplored in behavioral health.</w:t>
      </w:r>
    </w:p>
    <w:p w14:paraId="7DB98788" w14:textId="5462BAC3" w:rsidR="00DD4520" w:rsidRPr="00990078" w:rsidRDefault="00DD4520" w:rsidP="00DF487E">
      <w:pPr>
        <w:spacing w:after="0" w:line="480" w:lineRule="auto"/>
        <w:rPr>
          <w:rFonts w:ascii="Garamond" w:hAnsi="Garamond" w:cs="Times New Roman"/>
          <w:lang w:val="en"/>
        </w:rPr>
      </w:pPr>
      <w:r w:rsidRPr="00990078">
        <w:rPr>
          <w:rFonts w:ascii="Garamond" w:hAnsi="Garamond" w:cs="Times New Roman"/>
          <w:lang w:val="en"/>
        </w:rPr>
        <w:tab/>
        <w:t>Equity also remains an underdeveloped area. Denials disproportionately affect low-income and minority populations, including services that should be universally covered such as preventive care (Hoagland et al., 2024). These disparities are compounded in Medicaid, where complex documentation requirements and higher denial rates create additional barriers to access (Johnson et al., 2023; Muralidharan et al., 2025). Within ABA, families with fewer resources may be less able to navigate appeals or administrative processes, intensifying inequities in service delivery. While checklists have been shown to improve documentation accuracy and reduce preventable errors (Luna et al., 2018</w:t>
      </w:r>
      <w:r w:rsidR="00D77474" w:rsidRPr="00990078">
        <w:rPr>
          <w:rFonts w:ascii="Garamond" w:hAnsi="Garamond" w:cs="Times New Roman"/>
          <w:lang w:val="en"/>
        </w:rPr>
        <w:t xml:space="preserve">), </w:t>
      </w:r>
      <w:r w:rsidRPr="00990078">
        <w:rPr>
          <w:rFonts w:ascii="Garamond" w:hAnsi="Garamond" w:cs="Times New Roman"/>
          <w:lang w:val="en"/>
        </w:rPr>
        <w:t>little evidence explores whether these tools also reduce disparities or simply enhance efficiency within existing systems. Addressing this gap will require equity-focused research that evaluates whether denial-prevention strategies improve access and outcomes for underserved populations while maintaining financial sustainability (Hoagland et al., 2024; Levine et al., 2022).</w:t>
      </w:r>
    </w:p>
    <w:p w14:paraId="51917227" w14:textId="30380ADE" w:rsidR="00DD4520" w:rsidRPr="00990078" w:rsidRDefault="00EC64EF" w:rsidP="00F04DDE">
      <w:pPr>
        <w:pStyle w:val="Heading2"/>
        <w:rPr>
          <w:rFonts w:ascii="Garamond" w:hAnsi="Garamond" w:cs="Times New Roman"/>
          <w:b/>
          <w:bCs/>
          <w:color w:val="auto"/>
          <w:sz w:val="24"/>
          <w:szCs w:val="24"/>
          <w:lang w:val="en"/>
        </w:rPr>
      </w:pPr>
      <w:bookmarkStart w:id="5" w:name="_Toc228175312"/>
      <w:r w:rsidRPr="00990078">
        <w:rPr>
          <w:rFonts w:ascii="Garamond" w:hAnsi="Garamond" w:cs="Times New Roman"/>
          <w:b/>
          <w:bCs/>
          <w:color w:val="auto"/>
          <w:sz w:val="24"/>
          <w:szCs w:val="24"/>
          <w:lang w:val="en"/>
        </w:rPr>
        <w:t xml:space="preserve">Literature Review </w:t>
      </w:r>
      <w:r w:rsidR="00DD4520" w:rsidRPr="00990078">
        <w:rPr>
          <w:rFonts w:ascii="Garamond" w:hAnsi="Garamond" w:cs="Times New Roman"/>
          <w:b/>
          <w:bCs/>
          <w:color w:val="auto"/>
          <w:sz w:val="24"/>
          <w:szCs w:val="24"/>
          <w:lang w:val="en"/>
        </w:rPr>
        <w:t>Conclusion</w:t>
      </w:r>
      <w:bookmarkEnd w:id="5"/>
    </w:p>
    <w:p w14:paraId="53D524D9" w14:textId="1E54ACDE" w:rsidR="00DD4520" w:rsidRPr="00990078" w:rsidRDefault="00DD4520" w:rsidP="00DF487E">
      <w:pPr>
        <w:spacing w:after="0" w:line="480" w:lineRule="auto"/>
        <w:rPr>
          <w:rFonts w:ascii="Garamond" w:hAnsi="Garamond" w:cs="Times New Roman"/>
          <w:lang w:val="en"/>
        </w:rPr>
      </w:pPr>
      <w:r w:rsidRPr="00990078">
        <w:rPr>
          <w:rFonts w:ascii="Garamond" w:hAnsi="Garamond" w:cs="Times New Roman"/>
          <w:lang w:val="en"/>
        </w:rPr>
        <w:tab/>
        <w:t xml:space="preserve">Claim denials in Medicaid-funded ABA services weaken care access and financial stability. Structured interventions are most effective when developed with stakeholder engagement and integrated into workflow (Bunting &amp; de Klerk, 2022; Kwong et al., 2025). Quality improvement strategies such as Lean Six Sigma and predictive analytics show that denials are best reduced through standardized, proactive processes (Johnson et al., 2023). These findings collectively highlight the importance of implementing clearly defined and consistently used documentation tools such as a </w:t>
      </w:r>
      <w:r w:rsidRPr="00990078">
        <w:rPr>
          <w:rFonts w:ascii="Garamond" w:hAnsi="Garamond" w:cs="Times New Roman"/>
          <w:lang w:val="en"/>
        </w:rPr>
        <w:lastRenderedPageBreak/>
        <w:t>standardized note conversion checklist to address the preventable drivers of claim denials in ABA settings.</w:t>
      </w:r>
    </w:p>
    <w:p w14:paraId="32F37B24" w14:textId="31788C54" w:rsidR="00DD4520" w:rsidRPr="00990078" w:rsidRDefault="00DD4520" w:rsidP="00DF487E">
      <w:pPr>
        <w:spacing w:after="0" w:line="480" w:lineRule="auto"/>
        <w:rPr>
          <w:rFonts w:ascii="Garamond" w:hAnsi="Garamond" w:cs="Times New Roman"/>
          <w:lang w:val="en"/>
        </w:rPr>
      </w:pPr>
      <w:r w:rsidRPr="00990078">
        <w:rPr>
          <w:rFonts w:ascii="Garamond" w:hAnsi="Garamond" w:cs="Times New Roman"/>
          <w:lang w:val="en"/>
        </w:rPr>
        <w:tab/>
        <w:t>Evidence across healthcare and ABA links checklist use with improved accuracy, fewer errors, and measurable cost savings (Haynes et al., 2009; Levine et al., 2022; Luna et al., 2018). A standardized note conversion checklist offers a practical solution to reduce denials, improve documentation, and protect revenue integrity (Luna et al., 2018; Levine et al., 2022). If effectively implemented, it could reduce preventable denials by up to 20%, improving access and financial sustainability across Indiana’s Medicaid ABA system (Semel et al., 2010).</w:t>
      </w:r>
    </w:p>
    <w:p w14:paraId="5F80273E" w14:textId="77777777" w:rsidR="00C82A8E" w:rsidRPr="00990078" w:rsidRDefault="00C82A8E" w:rsidP="00F04DDE">
      <w:pPr>
        <w:pStyle w:val="Heading1"/>
        <w:jc w:val="center"/>
        <w:rPr>
          <w:rFonts w:ascii="Garamond" w:hAnsi="Garamond" w:cs="Times New Roman"/>
          <w:b/>
          <w:bCs/>
          <w:color w:val="auto"/>
          <w:sz w:val="24"/>
          <w:szCs w:val="24"/>
        </w:rPr>
      </w:pPr>
      <w:bookmarkStart w:id="6" w:name="_Toc228175313"/>
      <w:r w:rsidRPr="00990078">
        <w:rPr>
          <w:rFonts w:ascii="Garamond" w:hAnsi="Garamond" w:cs="Times New Roman"/>
          <w:b/>
          <w:bCs/>
          <w:color w:val="auto"/>
          <w:sz w:val="24"/>
          <w:szCs w:val="24"/>
        </w:rPr>
        <w:t>Methods</w:t>
      </w:r>
      <w:bookmarkEnd w:id="6"/>
    </w:p>
    <w:p w14:paraId="0E523289" w14:textId="77777777" w:rsidR="003D515F" w:rsidRPr="00990078" w:rsidRDefault="003D515F" w:rsidP="00F04DDE">
      <w:pPr>
        <w:pStyle w:val="Heading2"/>
        <w:rPr>
          <w:rFonts w:ascii="Garamond" w:hAnsi="Garamond" w:cs="Times New Roman"/>
          <w:b/>
          <w:bCs/>
          <w:color w:val="auto"/>
          <w:sz w:val="24"/>
          <w:szCs w:val="24"/>
        </w:rPr>
      </w:pPr>
      <w:bookmarkStart w:id="7" w:name="_Toc228175314"/>
      <w:r w:rsidRPr="00990078">
        <w:rPr>
          <w:rFonts w:ascii="Garamond" w:hAnsi="Garamond" w:cs="Times New Roman"/>
          <w:b/>
          <w:bCs/>
          <w:color w:val="auto"/>
          <w:sz w:val="24"/>
          <w:szCs w:val="24"/>
        </w:rPr>
        <w:t>Introduction to the Methods Section</w:t>
      </w:r>
      <w:bookmarkEnd w:id="7"/>
    </w:p>
    <w:p w14:paraId="7F3B7B74" w14:textId="0CDDA440" w:rsidR="00DF487E" w:rsidRPr="00990078" w:rsidRDefault="00DF487E" w:rsidP="00DF487E">
      <w:pPr>
        <w:spacing w:after="0" w:line="480" w:lineRule="auto"/>
        <w:rPr>
          <w:rFonts w:ascii="Garamond" w:hAnsi="Garamond" w:cs="Times New Roman"/>
        </w:rPr>
      </w:pPr>
      <w:r w:rsidRPr="00990078">
        <w:rPr>
          <w:rFonts w:ascii="Garamond" w:hAnsi="Garamond" w:cs="Times New Roman"/>
        </w:rPr>
        <w:tab/>
        <w:t>The clinical and operational problem has been defined, the literature on claim denials and documentation quality has been synthesized, and a standardized note conversion checklist has been identified as the evidence</w:t>
      </w:r>
      <w:r w:rsidRPr="00990078">
        <w:rPr>
          <w:rFonts w:ascii="Garamond" w:hAnsi="Garamond" w:cs="Times New Roman"/>
        </w:rPr>
        <w:noBreakHyphen/>
        <w:t>based intervention. The focus now shifts from identifying the problem to planning for successful implementation. The following content outlines how the intervention will be introduced, operationalized, monitored, and evaluated within the organizational setting.</w:t>
      </w:r>
    </w:p>
    <w:p w14:paraId="1F4FBFB8" w14:textId="04FA103E"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t>Implementation science emphasizes that evidence</w:t>
      </w:r>
      <w:r w:rsidRPr="00990078">
        <w:rPr>
          <w:rFonts w:ascii="Garamond" w:hAnsi="Garamond" w:cs="Times New Roman"/>
        </w:rPr>
        <w:noBreakHyphen/>
        <w:t>based interventions often fail not because the intervention itself is ineffective, but because insufficient attention is given to contextual factors, workflow integration, stakeholder engagement, and implementation processes prior to rollout (Chu, 2024; Fernandez et al., 2023). Within healthcare systems, quality improvement efforts are most successful when interventions are not only evidence</w:t>
      </w:r>
      <w:r w:rsidRPr="00990078">
        <w:rPr>
          <w:rFonts w:ascii="Garamond" w:hAnsi="Garamond" w:cs="Times New Roman"/>
        </w:rPr>
        <w:noBreakHyphen/>
        <w:t xml:space="preserve">based but also feasible within existing workflows, organizational structures, and reimbursement environments (Johnson et al., 2023; Kwong et al., 2025). Guided by these principles, the Methods content details the organizational context, stakeholder groups and implementation team, projected barriers and facilitators, the </w:t>
      </w:r>
      <w:r w:rsidRPr="00990078">
        <w:rPr>
          <w:rFonts w:ascii="Garamond" w:hAnsi="Garamond" w:cs="Times New Roman"/>
        </w:rPr>
        <w:lastRenderedPageBreak/>
        <w:t>evidence</w:t>
      </w:r>
      <w:r w:rsidRPr="00990078">
        <w:rPr>
          <w:rFonts w:ascii="Garamond" w:hAnsi="Garamond" w:cs="Times New Roman"/>
        </w:rPr>
        <w:noBreakHyphen/>
        <w:t>based intervention, implementation strategies, rollout procedures, and the monitoring and evaluation approach.</w:t>
      </w:r>
    </w:p>
    <w:p w14:paraId="517AAC9E" w14:textId="084DCAEE"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purpose of this project is to improve Medicaid documentation accuracy and reduce claim denials within Applied Behavior Analysis (ABA) services through implementation of a standardized note conversion checklist and embedded electronic health record (EHR) supports. Because successful implementation depends on more than the intervention itself, the methods described below address both the intervention and the strategies necessary to support adoption, fidelity, and sustainability across the organization.</w:t>
      </w:r>
    </w:p>
    <w:p w14:paraId="7B9D908E" w14:textId="77777777" w:rsidR="003D515F" w:rsidRPr="00990078" w:rsidRDefault="003D515F" w:rsidP="00F04DDE">
      <w:pPr>
        <w:pStyle w:val="Heading2"/>
        <w:rPr>
          <w:rFonts w:ascii="Garamond" w:hAnsi="Garamond" w:cs="Times New Roman"/>
          <w:b/>
          <w:bCs/>
          <w:color w:val="auto"/>
          <w:sz w:val="24"/>
          <w:szCs w:val="24"/>
        </w:rPr>
      </w:pPr>
      <w:bookmarkStart w:id="8" w:name="_Toc228175315"/>
      <w:r w:rsidRPr="00990078">
        <w:rPr>
          <w:rFonts w:ascii="Garamond" w:hAnsi="Garamond" w:cs="Times New Roman"/>
          <w:b/>
          <w:bCs/>
          <w:color w:val="auto"/>
          <w:sz w:val="24"/>
          <w:szCs w:val="24"/>
        </w:rPr>
        <w:t>Context</w:t>
      </w:r>
      <w:bookmarkEnd w:id="8"/>
    </w:p>
    <w:p w14:paraId="66BF8A99" w14:textId="39BEFCE8"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Context is a critical determinant of implementation success because interventions are introduced into complex service systems rather than controlled environments. Organizational structure, staffing patterns, workflow demands, leadership support, reimbursement pressures, and technological infrastructure can all influence whether an intervention is feasible and sustainable in practice (Fernandez et al., 2023; Damschroder et al., 2022). For this reason, implementation planning requires careful attention to the specific setting in which a project will occur.</w:t>
      </w:r>
    </w:p>
    <w:p w14:paraId="5D3508E4" w14:textId="6EF91DFB"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This project will be implemented within a multi-site ABA organization in Indiana that provides Medicaid-funded behavioral health services to children and adolescents with autism spectrum disorder and related developmental disabilities. Services are delivered in both center-based and school-based settings and must meet documentation standards established by Indiana Medicaid and the Council of Autism Service Providers (CASP). The organization employs approximately sixty-five registered behavior technicians (RBTs), eight board certified behavior analysts (BCBAs), and two board certified assistant behavior analysts (</w:t>
      </w:r>
      <w:proofErr w:type="spellStart"/>
      <w:r w:rsidR="003D515F" w:rsidRPr="00990078">
        <w:rPr>
          <w:rFonts w:ascii="Garamond" w:hAnsi="Garamond" w:cs="Times New Roman"/>
        </w:rPr>
        <w:t>BCaBAs</w:t>
      </w:r>
      <w:proofErr w:type="spellEnd"/>
      <w:r w:rsidR="003D515F" w:rsidRPr="00990078">
        <w:rPr>
          <w:rFonts w:ascii="Garamond" w:hAnsi="Garamond" w:cs="Times New Roman"/>
        </w:rPr>
        <w:t xml:space="preserve">). Clinical documentation, scheduling, and billing are managed through </w:t>
      </w:r>
      <w:proofErr w:type="spellStart"/>
      <w:r w:rsidR="003D515F" w:rsidRPr="00990078">
        <w:rPr>
          <w:rFonts w:ascii="Garamond" w:hAnsi="Garamond" w:cs="Times New Roman"/>
        </w:rPr>
        <w:t>CentralReach</w:t>
      </w:r>
      <w:proofErr w:type="spellEnd"/>
      <w:r w:rsidR="003D515F" w:rsidRPr="00990078">
        <w:rPr>
          <w:rFonts w:ascii="Garamond" w:hAnsi="Garamond" w:cs="Times New Roman"/>
        </w:rPr>
        <w:t>, an integrated EHR system that supports both clinical and administrative functions.</w:t>
      </w:r>
    </w:p>
    <w:p w14:paraId="56A2EF97" w14:textId="66000DE2" w:rsidR="003D515F" w:rsidRPr="00990078" w:rsidRDefault="00DF487E" w:rsidP="00DF487E">
      <w:pPr>
        <w:spacing w:after="0" w:line="480" w:lineRule="auto"/>
        <w:rPr>
          <w:rFonts w:ascii="Garamond" w:hAnsi="Garamond" w:cs="Times New Roman"/>
        </w:rPr>
      </w:pPr>
      <w:r w:rsidRPr="00990078">
        <w:rPr>
          <w:rFonts w:ascii="Garamond" w:hAnsi="Garamond" w:cs="Times New Roman"/>
        </w:rPr>
        <w:lastRenderedPageBreak/>
        <w:tab/>
      </w:r>
      <w:r w:rsidR="003D515F" w:rsidRPr="00990078">
        <w:rPr>
          <w:rFonts w:ascii="Garamond" w:hAnsi="Garamond" w:cs="Times New Roman"/>
        </w:rPr>
        <w:t xml:space="preserve">Several contextual features make this setting especially relevant for implementation planning. First, the organization is operating in a period of growth, which has contributed to variation in staff experience, documentation habits, and supervisory consistency across sites. Second, the current note conversion process depends heavily on individual clinician judgment, increasing the likelihood of omitted Medicaid-required elements and inconsistent note structure. Third, the consequences of documentation errors extend beyond internal quality concerns, as incomplete or inaccurate documentation contributes directly to denied claims, administrative rework, and reimbursement delays (Johnson et al., 2023; O’Malley et al., 2019; </w:t>
      </w:r>
      <w:proofErr w:type="spellStart"/>
      <w:r w:rsidR="003D515F" w:rsidRPr="00990078">
        <w:rPr>
          <w:rFonts w:ascii="Garamond" w:hAnsi="Garamond" w:cs="Times New Roman"/>
        </w:rPr>
        <w:t>Wagenschieber</w:t>
      </w:r>
      <w:proofErr w:type="spellEnd"/>
      <w:r w:rsidR="003D515F" w:rsidRPr="00990078">
        <w:rPr>
          <w:rFonts w:ascii="Garamond" w:hAnsi="Garamond" w:cs="Times New Roman"/>
        </w:rPr>
        <w:t xml:space="preserve"> &amp; Blunck, 2024). These conditions make the organization an appropriate setting for implementation of a standardized documentation process.</w:t>
      </w:r>
    </w:p>
    <w:p w14:paraId="43CE48C0" w14:textId="2B217FEE"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Transcreation Model Framework (TMF) further supports the need to assess context prior to implementation. The TMF emphasizes that interventions should be adapted to the realities of the local population, setting, and workflow rather than transferred into practice without modification (University of Colorado Denver, 2025). In the present project, this is particularly important because Medicaid-funded ABA documentation involves both clinical and billing requirements, and any intervention must fit the operational demands of a high-volume behavioral health setting. Consistent with TMF principles, project planning incorporates feedback from staff and organizational leadership to ensure that the intervention is practical, acceptable, and responsive to site-specific workflow demands (Pellecchia et al., 2023).</w:t>
      </w:r>
    </w:p>
    <w:p w14:paraId="30C6A7C6" w14:textId="77777777" w:rsidR="003D515F" w:rsidRPr="00990078" w:rsidRDefault="003D515F" w:rsidP="00F04DDE">
      <w:pPr>
        <w:pStyle w:val="Heading2"/>
        <w:rPr>
          <w:rFonts w:ascii="Garamond" w:hAnsi="Garamond" w:cs="Times New Roman"/>
          <w:b/>
          <w:bCs/>
          <w:color w:val="auto"/>
          <w:sz w:val="24"/>
          <w:szCs w:val="24"/>
        </w:rPr>
      </w:pPr>
      <w:bookmarkStart w:id="9" w:name="_Toc228175316"/>
      <w:r w:rsidRPr="00990078">
        <w:rPr>
          <w:rFonts w:ascii="Garamond" w:hAnsi="Garamond" w:cs="Times New Roman"/>
          <w:b/>
          <w:bCs/>
          <w:color w:val="auto"/>
          <w:sz w:val="24"/>
          <w:szCs w:val="24"/>
        </w:rPr>
        <w:t>Stakeholders and Implementation Team</w:t>
      </w:r>
      <w:bookmarkEnd w:id="9"/>
    </w:p>
    <w:p w14:paraId="501F15B8" w14:textId="77777777" w:rsidR="003D515F" w:rsidRPr="00990078" w:rsidRDefault="003D515F" w:rsidP="00DF487E">
      <w:pPr>
        <w:spacing w:after="0" w:line="480" w:lineRule="auto"/>
        <w:rPr>
          <w:rFonts w:ascii="Garamond" w:hAnsi="Garamond" w:cs="Times New Roman"/>
        </w:rPr>
      </w:pPr>
      <w:r w:rsidRPr="00990078">
        <w:rPr>
          <w:rFonts w:ascii="Garamond" w:hAnsi="Garamond" w:cs="Times New Roman"/>
        </w:rPr>
        <w:t xml:space="preserve">Stakeholder engagement is an essential part of implementation planning because the individuals affected by a practice change often determine whether it is accepted, resisted, or sustained over time (Pellecchia et al., 2023). For this project, stakeholders were identified using a systems-based approach consistent with stakeholder mapping guidance and conceptually aligned with frameworks </w:t>
      </w:r>
      <w:r w:rsidRPr="00990078">
        <w:rPr>
          <w:rFonts w:ascii="Garamond" w:hAnsi="Garamond" w:cs="Times New Roman"/>
        </w:rPr>
        <w:lastRenderedPageBreak/>
        <w:t>such as the 7 Ps model, which emphasize inclusion of those who provide, oversee, support, or are affected by the intervention.</w:t>
      </w:r>
    </w:p>
    <w:p w14:paraId="539115ED" w14:textId="4B0A154C"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The primary stakeholder group includes the RBTs, </w:t>
      </w:r>
      <w:proofErr w:type="spellStart"/>
      <w:r w:rsidR="003D515F" w:rsidRPr="00990078">
        <w:rPr>
          <w:rFonts w:ascii="Garamond" w:hAnsi="Garamond" w:cs="Times New Roman"/>
        </w:rPr>
        <w:t>BCaBAs</w:t>
      </w:r>
      <w:proofErr w:type="spellEnd"/>
      <w:r w:rsidR="003D515F" w:rsidRPr="00990078">
        <w:rPr>
          <w:rFonts w:ascii="Garamond" w:hAnsi="Garamond" w:cs="Times New Roman"/>
        </w:rPr>
        <w:t>, and BCBAs responsible for completing, reviewing, or supervising Medicaid-funded session documentation. These clinicians are central to the project because they are the frontline users of the proposed checklist and electronic note template. Their involvement is essential to implementation success because standardized documentation tools are most effective when they are acceptable, easy to use, and integrated into routine workflow (Bunting &amp; de Klerk, 2022; Kramer et al., 2017; Kwong et al., 2025).</w:t>
      </w:r>
    </w:p>
    <w:p w14:paraId="0002F606" w14:textId="5CDFF107"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Additional stakeholders include the Clinical Director, Quality Assurance (QA) team, billing personnel, and administrative leadership. These stakeholders are important because they oversee documentation quality, monitor claim denials, interpret payer requirements, and support operational accountability. Billing personnel, in particular, are essential because they can identify recurring denial triggers and ensure that the checklist aligns with payer expectations and reimbursement requirements (Levine et al., 2022; Johnson et al., 2023). Leadership is also a necessary stakeholder group because implementation climate, resource allocation, and follow-through are strongly influenced by leadership engagement (Chu, 2024; Fernandez et al., 2023).</w:t>
      </w:r>
    </w:p>
    <w:p w14:paraId="0CA4FE41" w14:textId="77777777" w:rsidR="003D515F" w:rsidRPr="00990078" w:rsidRDefault="003D515F" w:rsidP="00DF487E">
      <w:pPr>
        <w:spacing w:after="0" w:line="480" w:lineRule="auto"/>
        <w:rPr>
          <w:rFonts w:ascii="Garamond" w:hAnsi="Garamond" w:cs="Times New Roman"/>
        </w:rPr>
      </w:pPr>
      <w:r w:rsidRPr="00990078">
        <w:rPr>
          <w:rFonts w:ascii="Garamond" w:hAnsi="Garamond" w:cs="Times New Roman"/>
        </w:rPr>
        <w:t>Indirect stakeholders include the children and adolescents receiving ABA services and their families. Although these individuals are not directly responsible for implementation activities, they are directly affected by the consequences of documentation quality. Reduced claim denials may improve continuity of care, reduce reimbursement-related disruptions, and support more consistent access to medically necessary services, particularly for Medicaid-enrolled families who may already face structural barriers to care (Hoagland et al., 2024; Muralidharan et al., 2025).</w:t>
      </w:r>
    </w:p>
    <w:p w14:paraId="30BAAE53" w14:textId="162E9361"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The implementation team for this project consists of the Clinical Director, the QA team, supervising BCBAs, the Billing Specialist, and operational support personnel involved in EHR </w:t>
      </w:r>
      <w:r w:rsidR="003D515F" w:rsidRPr="00990078">
        <w:rPr>
          <w:rFonts w:ascii="Garamond" w:hAnsi="Garamond" w:cs="Times New Roman"/>
        </w:rPr>
        <w:lastRenderedPageBreak/>
        <w:t>workflow development. This team was selected because its members directly map onto the intervention and the implementation needs of the project. The Clinical Director will oversee rollout and decision-making; the QA team will conduct audits and track implementation data; supervising BCBAs will reinforce correct use of the checklist and provide coaching; the Billing Specialist will monitor denial-related trends; and EHR support personnel will assist with template design and workflow integration. This structure allows the implementation team to address both the clinical and administrative demands of the project while responding to identified barriers and facilitators.</w:t>
      </w:r>
    </w:p>
    <w:p w14:paraId="7E4518D1" w14:textId="77777777" w:rsidR="003D515F" w:rsidRPr="00990078" w:rsidRDefault="003D515F" w:rsidP="00F04DDE">
      <w:pPr>
        <w:pStyle w:val="Heading2"/>
        <w:rPr>
          <w:rFonts w:ascii="Garamond" w:hAnsi="Garamond" w:cs="Times New Roman"/>
          <w:b/>
          <w:bCs/>
          <w:color w:val="auto"/>
          <w:sz w:val="24"/>
          <w:szCs w:val="24"/>
        </w:rPr>
      </w:pPr>
      <w:bookmarkStart w:id="10" w:name="_Toc228175317"/>
      <w:r w:rsidRPr="00990078">
        <w:rPr>
          <w:rFonts w:ascii="Garamond" w:hAnsi="Garamond" w:cs="Times New Roman"/>
          <w:b/>
          <w:bCs/>
          <w:color w:val="auto"/>
          <w:sz w:val="24"/>
          <w:szCs w:val="24"/>
        </w:rPr>
        <w:t>Projected Barriers and Facilitators</w:t>
      </w:r>
      <w:bookmarkEnd w:id="10"/>
    </w:p>
    <w:p w14:paraId="3BD60C87" w14:textId="5A5FD05D"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Implementation planning requires early identification of the barriers and facilitators most likely to influence adoption, fidelity, and sustainability. </w:t>
      </w:r>
      <w:r w:rsidR="004C0B56" w:rsidRPr="00990078">
        <w:rPr>
          <w:rFonts w:ascii="Garamond" w:hAnsi="Garamond" w:cs="Times New Roman"/>
        </w:rPr>
        <w:t>P</w:t>
      </w:r>
      <w:r w:rsidR="003D515F" w:rsidRPr="00990078">
        <w:rPr>
          <w:rFonts w:ascii="Garamond" w:hAnsi="Garamond" w:cs="Times New Roman"/>
        </w:rPr>
        <w:t>rojected barriers and facilitators were identified through review of workflow concerns, documentation audit needs, organizational knowledge, and stakeholder-informed planning. These factors were then interpreted using implementation science guidance and classified conceptually using the Consolidated Framework for Implementation Research (CFIR) (Damschroder et al., 2022; Fernandez et al., 2023).</w:t>
      </w:r>
    </w:p>
    <w:p w14:paraId="1DAB6199" w14:textId="58D0DC07"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Several facilitators are already present within the setting. One facilitator is the organization’s use of </w:t>
      </w:r>
      <w:proofErr w:type="spellStart"/>
      <w:r w:rsidR="003D515F" w:rsidRPr="00990078">
        <w:rPr>
          <w:rFonts w:ascii="Garamond" w:hAnsi="Garamond" w:cs="Times New Roman"/>
        </w:rPr>
        <w:t>CentralReach</w:t>
      </w:r>
      <w:proofErr w:type="spellEnd"/>
      <w:r w:rsidR="003D515F" w:rsidRPr="00990078">
        <w:rPr>
          <w:rFonts w:ascii="Garamond" w:hAnsi="Garamond" w:cs="Times New Roman"/>
        </w:rPr>
        <w:t>, which provides an established infrastructure for embedding prompts, templates, and required fields directly into documentation workflows. Another facilitator is the presence of a centralized Clinical Director and QA team, both of which support implementation oversight, accountability, and consistent monitoring. The organization also demonstrates an existing interest in quality improvement and compliance, which may improve readiness for implementation and leadership support.</w:t>
      </w:r>
    </w:p>
    <w:p w14:paraId="52CBFA28" w14:textId="5F95D873"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Several likely barriers are also present. Within the inner setting domain, an important barrier is variability in documentation practices across staff and service sites. This inconsistency likely reflects differences in supervision, training exposure, and established workflow habits. Staff turnover </w:t>
      </w:r>
      <w:r w:rsidR="003D515F" w:rsidRPr="00990078">
        <w:rPr>
          <w:rFonts w:ascii="Garamond" w:hAnsi="Garamond" w:cs="Times New Roman"/>
        </w:rPr>
        <w:lastRenderedPageBreak/>
        <w:t>also represents an inner setting barrier because it reduces consistency and increases the likelihood that documentation expectations are interpreted differently across employees. However, centralized leadership and quality assurance oversight may function as a facilitator within this same domain by supporting standardization and accountability (Fernandez et al., 2023).</w:t>
      </w:r>
    </w:p>
    <w:p w14:paraId="7648A69F" w14:textId="129DA0CD"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Within the intervention characteristics domain, a likely barrier is perceived burden. If the checklist or EHR template is viewed as cumbersome, redundant, or time-intensive, staff may be less likely to use it consistently. At the same time, the intervention may function as a facilitator because it is concrete, low-cost, and capable of being integrated into existing workflows. Research on checklist use in healthcare suggests that tools are most effective when they are collaboratively designed, embedded into routine practice, and clearly linked to workflow improvement rather than added administrative burden (Bunting &amp; de Klerk, 2022; Kramer et al., 2017; Kwong et al., 2025).</w:t>
      </w:r>
    </w:p>
    <w:p w14:paraId="5C2D16A6" w14:textId="442E96F7"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Within the characteristics of individuals domain, staff may vary in their confidence, skill, and familiarity with Medicaid documentation requirements. Inconsistent knowledge of payer expectations may reduce implementation fidelity. However, structured documentation tools may also increase confidence and reduce uncertainty, especially among newer clinicians or staff with limited exposure to payer-specific documentation standards (Luna et al., 2018</w:t>
      </w:r>
      <w:r w:rsidR="00D77474" w:rsidRPr="00990078">
        <w:rPr>
          <w:rFonts w:ascii="Garamond" w:hAnsi="Garamond" w:cs="Times New Roman"/>
        </w:rPr>
        <w:t>).</w:t>
      </w:r>
    </w:p>
    <w:p w14:paraId="48CAC5EE" w14:textId="4A6247F0"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Within the process domain, stakeholder engagement and pilot feedback are likely facilitators because they allow the intervention to be refined before full-scale implementation. Conversely, insufficient communication or delayed follow-up could reduce buy-in and weaken implementation momentum (Pellecchia et al., 2023).</w:t>
      </w:r>
    </w:p>
    <w:p w14:paraId="26181D52" w14:textId="376EA398"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Two barriers are considered priority concerns for this project. The first is inconsistent documentation practices across providers and sites, which directly undermines the standardization required for successful implementation. The second is workflow burden and competing clinical demands, which may reduce staff willingness to adopt a new process if it is perceived as increasing </w:t>
      </w:r>
      <w:r w:rsidR="003D515F" w:rsidRPr="00990078">
        <w:rPr>
          <w:rFonts w:ascii="Garamond" w:hAnsi="Garamond" w:cs="Times New Roman"/>
        </w:rPr>
        <w:lastRenderedPageBreak/>
        <w:t>documentation time or administrative complexity. These barriers are especially important because they directly affect whether the intervention will be used consistently in real-world practice.</w:t>
      </w:r>
    </w:p>
    <w:p w14:paraId="136D884A" w14:textId="77777777" w:rsidR="003D515F" w:rsidRPr="00990078" w:rsidRDefault="003D515F" w:rsidP="00F04DDE">
      <w:pPr>
        <w:pStyle w:val="Heading2"/>
        <w:rPr>
          <w:rFonts w:ascii="Garamond" w:hAnsi="Garamond" w:cs="Times New Roman"/>
          <w:b/>
          <w:bCs/>
          <w:color w:val="auto"/>
          <w:sz w:val="24"/>
          <w:szCs w:val="24"/>
        </w:rPr>
      </w:pPr>
      <w:bookmarkStart w:id="11" w:name="_Toc228175318"/>
      <w:r w:rsidRPr="00990078">
        <w:rPr>
          <w:rFonts w:ascii="Garamond" w:hAnsi="Garamond" w:cs="Times New Roman"/>
          <w:b/>
          <w:bCs/>
          <w:color w:val="auto"/>
          <w:sz w:val="24"/>
          <w:szCs w:val="24"/>
        </w:rPr>
        <w:t>Evidence-Based Intervention and Implementation Plans</w:t>
      </w:r>
      <w:bookmarkEnd w:id="11"/>
    </w:p>
    <w:p w14:paraId="6C12355A" w14:textId="0E85CD39"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A central distinction in implementation science is the difference between the evidence-based intervention (EBI) itself and the strategies used to implement it. The EBI refers to the practice or process being introduced, whereas implementation strategies refer to the methods used to support adoption, integration, and sustainment. Both are necessary. Even strong interventions may fail if organizations do not prepare staff, align workflows, or address implementation barriers (Chu, 2024; Fernandez et al., 2023).</w:t>
      </w:r>
    </w:p>
    <w:p w14:paraId="1195BFED" w14:textId="7C1C95C4"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4C0B56" w:rsidRPr="00990078">
        <w:rPr>
          <w:rFonts w:ascii="Garamond" w:hAnsi="Garamond" w:cs="Times New Roman"/>
        </w:rPr>
        <w:t>T</w:t>
      </w:r>
      <w:r w:rsidR="003D515F" w:rsidRPr="00990078">
        <w:rPr>
          <w:rFonts w:ascii="Garamond" w:hAnsi="Garamond" w:cs="Times New Roman"/>
        </w:rPr>
        <w:t xml:space="preserve">he EBI is the implementation of a standardized Medicaid note conversion checklist paired with an embedded electronic note template within </w:t>
      </w:r>
      <w:proofErr w:type="spellStart"/>
      <w:r w:rsidR="003D515F" w:rsidRPr="00990078">
        <w:rPr>
          <w:rFonts w:ascii="Garamond" w:hAnsi="Garamond" w:cs="Times New Roman"/>
        </w:rPr>
        <w:t>CentralReach</w:t>
      </w:r>
      <w:proofErr w:type="spellEnd"/>
      <w:r w:rsidR="003D515F" w:rsidRPr="00990078">
        <w:rPr>
          <w:rFonts w:ascii="Garamond" w:hAnsi="Garamond" w:cs="Times New Roman"/>
        </w:rPr>
        <w:t>. This intervention is intended to reduce documentation variability, improve note accuracy, and increase compliance with payer requirements by standardizing the required elements of ABA session documentation. The use of structured documentation tools is supported by literature demonstrating that checklists improve consistency, reduce omissions, and strengthen workflow reliability across healthcare settings (Bunting &amp; de Klerk, 2022; Etheridge et al., 2024; Haynes et al., 2009; Kramer et al., 2017). Evidence specific to ABA also suggests that structured note tools improve objectivity and completeness in session documentation (Luna et al., 2018</w:t>
      </w:r>
      <w:r w:rsidR="00D77474" w:rsidRPr="00990078">
        <w:rPr>
          <w:rFonts w:ascii="Garamond" w:hAnsi="Garamond" w:cs="Times New Roman"/>
        </w:rPr>
        <w:t>).</w:t>
      </w:r>
    </w:p>
    <w:p w14:paraId="38F08EE3" w14:textId="3DD78B9E"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implementation plan, in contrast, includes the strategies that will support staff uptake and organizational integration of the intervention. These include baseline auditing, checklist development, EHR template refinement, stakeholder feedback, staff training, pilot testing, audit-and-feedback cycles, and leadership oversight. These implementation activities are necessary because the checklist alone is unlikely to improve outcomes unless it is integrated into routine practice in a way that is usable, supported, and reinforced over time (Pellecchia et al., 2023; Kwong et al., 2025).</w:t>
      </w:r>
    </w:p>
    <w:p w14:paraId="7FA65F3F" w14:textId="11140AF6" w:rsidR="003D515F" w:rsidRPr="00990078" w:rsidRDefault="00DF487E" w:rsidP="00DF487E">
      <w:pPr>
        <w:spacing w:after="0" w:line="480" w:lineRule="auto"/>
        <w:rPr>
          <w:rFonts w:ascii="Garamond" w:hAnsi="Garamond" w:cs="Times New Roman"/>
        </w:rPr>
      </w:pPr>
      <w:r w:rsidRPr="00990078">
        <w:rPr>
          <w:rFonts w:ascii="Garamond" w:hAnsi="Garamond" w:cs="Times New Roman"/>
        </w:rPr>
        <w:lastRenderedPageBreak/>
        <w:tab/>
      </w:r>
      <w:r w:rsidR="003D515F" w:rsidRPr="00990078">
        <w:rPr>
          <w:rFonts w:ascii="Garamond" w:hAnsi="Garamond" w:cs="Times New Roman"/>
        </w:rPr>
        <w:t>Both plans are needed for successful adoption. The EBI addresses the documentation problem directly by standardizing note conversion requirements, while the implementation plan addresses the practical steps necessary to ensure that staff actually use the intervention as intended. Together, they create a more complete and realistic strategy for reducing claim denials and improving documentation compliance.</w:t>
      </w:r>
    </w:p>
    <w:p w14:paraId="2CA0EA5A" w14:textId="77777777" w:rsidR="003D515F" w:rsidRPr="00990078" w:rsidRDefault="003D515F" w:rsidP="00F04DDE">
      <w:pPr>
        <w:pStyle w:val="Heading2"/>
        <w:rPr>
          <w:rFonts w:ascii="Garamond" w:hAnsi="Garamond" w:cs="Times New Roman"/>
          <w:b/>
          <w:bCs/>
          <w:color w:val="auto"/>
          <w:sz w:val="24"/>
          <w:szCs w:val="24"/>
        </w:rPr>
      </w:pPr>
      <w:bookmarkStart w:id="12" w:name="_Toc228175319"/>
      <w:r w:rsidRPr="00990078">
        <w:rPr>
          <w:rFonts w:ascii="Garamond" w:hAnsi="Garamond" w:cs="Times New Roman"/>
          <w:b/>
          <w:bCs/>
          <w:color w:val="auto"/>
          <w:sz w:val="24"/>
          <w:szCs w:val="24"/>
        </w:rPr>
        <w:t>Logic Model</w:t>
      </w:r>
      <w:bookmarkEnd w:id="12"/>
    </w:p>
    <w:p w14:paraId="344B38EA" w14:textId="081E13F3"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A logic model was developed to organize the relationship between project inputs, activities, outputs, and intended outcomes. Logic models are useful in implementation planning because they clarify how intervention components and implementation strategies are expected to produce change over time. </w:t>
      </w:r>
      <w:r w:rsidR="004C0B56" w:rsidRPr="00990078">
        <w:rPr>
          <w:rFonts w:ascii="Garamond" w:hAnsi="Garamond" w:cs="Times New Roman"/>
        </w:rPr>
        <w:t xml:space="preserve">The </w:t>
      </w:r>
      <w:r w:rsidR="003D515F" w:rsidRPr="00990078">
        <w:rPr>
          <w:rFonts w:ascii="Garamond" w:hAnsi="Garamond" w:cs="Times New Roman"/>
        </w:rPr>
        <w:t>logic model includes both the intervention itself, namely the standardized checklist and embedded EHR template, and the implementation supports needed to facilitate adoption, such as staff training, workflow redesign, stakeholder feedback, and audit monitoring.</w:t>
      </w:r>
    </w:p>
    <w:p w14:paraId="44D34804" w14:textId="37E23394"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The logic model also reflects the contextual conditions, projected barriers, and facilitators identified during planning. Specifically, it accounts for the need to reduce variation in documentation practices, increase staff clarity regarding required note elements, and strengthen the organization’s ability to monitor documentation quality over time. This model was informed by stakeholder input, implementation science guidance, and practical knowledge of the setting. The completed logic model is provided in Appendix </w:t>
      </w:r>
      <w:r w:rsidR="00C03130" w:rsidRPr="00990078">
        <w:rPr>
          <w:rFonts w:ascii="Garamond" w:hAnsi="Garamond" w:cs="Times New Roman"/>
        </w:rPr>
        <w:t>B</w:t>
      </w:r>
      <w:r w:rsidR="003D515F" w:rsidRPr="00990078">
        <w:rPr>
          <w:rFonts w:ascii="Garamond" w:hAnsi="Garamond" w:cs="Times New Roman"/>
        </w:rPr>
        <w:t xml:space="preserve"> and is cited here as the conceptual representation of how the intervention and implementation strategies are expected to improve documentation compliance and reduce claim denials.</w:t>
      </w:r>
    </w:p>
    <w:p w14:paraId="787EA794" w14:textId="77777777" w:rsidR="003D515F" w:rsidRPr="00990078" w:rsidRDefault="003D515F" w:rsidP="00F04DDE">
      <w:pPr>
        <w:pStyle w:val="Heading2"/>
        <w:rPr>
          <w:rFonts w:ascii="Garamond" w:hAnsi="Garamond" w:cs="Times New Roman"/>
          <w:b/>
          <w:bCs/>
          <w:color w:val="auto"/>
          <w:sz w:val="24"/>
          <w:szCs w:val="24"/>
        </w:rPr>
      </w:pPr>
      <w:bookmarkStart w:id="13" w:name="_Toc228175320"/>
      <w:r w:rsidRPr="00990078">
        <w:rPr>
          <w:rFonts w:ascii="Garamond" w:hAnsi="Garamond" w:cs="Times New Roman"/>
          <w:b/>
          <w:bCs/>
          <w:color w:val="auto"/>
          <w:sz w:val="24"/>
          <w:szCs w:val="24"/>
        </w:rPr>
        <w:t>Evidence-Based Intervention and Implementation Strategies</w:t>
      </w:r>
      <w:bookmarkEnd w:id="13"/>
    </w:p>
    <w:p w14:paraId="2DEFC8B6" w14:textId="33421D86"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The evidence-based intervention selected for this project is the use of a standardized note conversion checklist and associated electronic note template to improve the completeness, consistency, and payer compliance of Medicaid-funded ABA documentation. This intervention was </w:t>
      </w:r>
      <w:r w:rsidR="003D515F" w:rsidRPr="00990078">
        <w:rPr>
          <w:rFonts w:ascii="Garamond" w:hAnsi="Garamond" w:cs="Times New Roman"/>
        </w:rPr>
        <w:lastRenderedPageBreak/>
        <w:t>selected because the literature suggests that claim denials are often driven by preventable documentation errors, omissions, and inconsistencies rather than the quality of the clinical service itself (Chandramouli, 2021; Johnson et al., 2023; Luna et al., 2018). In healthcare and behavioral health settings, checklists have been shown to improve accuracy, reduce preventable errors, and support more reliable workflow execution (Bunting &amp; de Klerk, 2022; Levine et al., 2022; Luna et al., 2018).</w:t>
      </w:r>
    </w:p>
    <w:p w14:paraId="62F3AFFA" w14:textId="0A736D08"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implementation strategies selected for this project include baseline auditing, EHR workflow integration, behavior skills training (BST), pilot testing, audit-and-feedback cycles, and ongoing leadership oversight. These strategies were selected because they directly address the project’s priority barriers of workflow inconsistency and perceived burden. They also align with findings from the literature indicating that checklist-based interventions are more effective when they are introduced with training, embedded into routine systems, and supported by monitoring and reinforcement (Bunting &amp; de Klerk, 2022; Kramer et al., 2017; Kwong et al., 2025).</w:t>
      </w:r>
    </w:p>
    <w:p w14:paraId="39B2FD10" w14:textId="092A8D19"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The checklist and electronic note template will be operationalized by embedding required documentation prompts directly into the note conversion process within </w:t>
      </w:r>
      <w:proofErr w:type="spellStart"/>
      <w:r w:rsidR="003D515F" w:rsidRPr="00990078">
        <w:rPr>
          <w:rFonts w:ascii="Garamond" w:hAnsi="Garamond" w:cs="Times New Roman"/>
        </w:rPr>
        <w:t>CentralReach</w:t>
      </w:r>
      <w:proofErr w:type="spellEnd"/>
      <w:r w:rsidR="003D515F" w:rsidRPr="00990078">
        <w:rPr>
          <w:rFonts w:ascii="Garamond" w:hAnsi="Garamond" w:cs="Times New Roman"/>
        </w:rPr>
        <w:t>. Staff will be expected to use the checklist as part of routine note completion rather than as a separate administrative activity. Training will use BST methods, including instruction, modeling, rehearsal, and feedback, to strengthen staff competence and confidence in using the new process. Audit-and-feedback procedures will then be used to reinforce correct implementation, identify recurring documentation problems, and guide ongoing refinement. This combination of intervention and implementation strategy is appropriate because it addresses both the technical documentation requirements and the staff behavior changes needed for successful uptake.</w:t>
      </w:r>
    </w:p>
    <w:p w14:paraId="22A3103A" w14:textId="77777777" w:rsidR="003D515F" w:rsidRPr="00990078" w:rsidRDefault="003D515F" w:rsidP="00F04DDE">
      <w:pPr>
        <w:pStyle w:val="Heading2"/>
        <w:rPr>
          <w:rFonts w:ascii="Garamond" w:hAnsi="Garamond" w:cs="Times New Roman"/>
          <w:b/>
          <w:bCs/>
          <w:color w:val="auto"/>
          <w:sz w:val="24"/>
          <w:szCs w:val="24"/>
        </w:rPr>
      </w:pPr>
      <w:bookmarkStart w:id="14" w:name="_Toc228175321"/>
      <w:r w:rsidRPr="00990078">
        <w:rPr>
          <w:rFonts w:ascii="Garamond" w:hAnsi="Garamond" w:cs="Times New Roman"/>
          <w:b/>
          <w:bCs/>
          <w:color w:val="auto"/>
          <w:sz w:val="24"/>
          <w:szCs w:val="24"/>
        </w:rPr>
        <w:lastRenderedPageBreak/>
        <w:t>Implementation Plan</w:t>
      </w:r>
      <w:bookmarkEnd w:id="14"/>
    </w:p>
    <w:p w14:paraId="64B24A80" w14:textId="25981227"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Project rollout will be guided by a combined Plan–Do–Study–Act (PDSA) and Lean Six Sigma framework. This approach provides a structured quality improvement process that emphasizes standardization, efficiency, and iterative refinement based on data (Institute for Healthcare Improvement [IHI], 2023; Khalili &amp; El-</w:t>
      </w:r>
      <w:proofErr w:type="spellStart"/>
      <w:r w:rsidR="003D515F" w:rsidRPr="00990078">
        <w:rPr>
          <w:rFonts w:ascii="Garamond" w:hAnsi="Garamond" w:cs="Times New Roman"/>
        </w:rPr>
        <w:t>Dakhakhni</w:t>
      </w:r>
      <w:proofErr w:type="spellEnd"/>
      <w:r w:rsidR="003D515F" w:rsidRPr="00990078">
        <w:rPr>
          <w:rFonts w:ascii="Garamond" w:hAnsi="Garamond" w:cs="Times New Roman"/>
        </w:rPr>
        <w:t>, 2023). It is especially appropriate for this project because the problem is operational and process-driven rather than one of clinical treatment effectiveness. Research supports the use of structured quality improvement approaches to reduce documentation errors, improve payer compliance, and minimize administrative rework (Bunting &amp; de Klerk, 2022; Levine et al., 2022).</w:t>
      </w:r>
    </w:p>
    <w:p w14:paraId="26E0EAA4" w14:textId="77777777" w:rsidR="003D515F" w:rsidRPr="00990078" w:rsidRDefault="003D515F" w:rsidP="00DF487E">
      <w:pPr>
        <w:spacing w:after="0" w:line="480" w:lineRule="auto"/>
        <w:rPr>
          <w:rFonts w:ascii="Garamond" w:hAnsi="Garamond" w:cs="Times New Roman"/>
        </w:rPr>
      </w:pPr>
      <w:r w:rsidRPr="00990078">
        <w:rPr>
          <w:rFonts w:ascii="Garamond" w:hAnsi="Garamond" w:cs="Times New Roman"/>
        </w:rPr>
        <w:t>During the Plan phase, baseline audits of Medicaid-funded documentation will be completed using the Documentation Compliance Audit Tool (DCAT) to identify recurring errors and establish pre-implementation benchmarks. These findings will guide final development of the standardized checklist and embedded note template.</w:t>
      </w:r>
    </w:p>
    <w:p w14:paraId="168C081D" w14:textId="2EA2CEB3"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During the Do phase, the checklist and EHR template will be introduced through staff training and pilot implementation. Training will be delivered by the Clinical Director with support from the QA team and will be integrated into existing professional development structures to minimize disruption to clinical operations. Staff will receive instruction and hands-on practice using compliant and noncompliant documentation examples.</w:t>
      </w:r>
      <w:r w:rsidRPr="00990078">
        <w:rPr>
          <w:rFonts w:ascii="Garamond" w:hAnsi="Garamond" w:cs="Times New Roman"/>
        </w:rPr>
        <w:t xml:space="preserve"> </w:t>
      </w:r>
      <w:r w:rsidR="003D515F" w:rsidRPr="00990078">
        <w:rPr>
          <w:rFonts w:ascii="Garamond" w:hAnsi="Garamond" w:cs="Times New Roman"/>
        </w:rPr>
        <w:t>During the Study phase, monthly documentation compliance data, claim denial trends, and staff usability feedback will be reviewed to assess implementation progress. The QA team will conduct random audits of approximately ten percent of session notes at each site to monitor checklist adherence and identify areas requiring retraining or procedural refinement.</w:t>
      </w:r>
      <w:r w:rsidRPr="00990078">
        <w:rPr>
          <w:rFonts w:ascii="Garamond" w:hAnsi="Garamond" w:cs="Times New Roman"/>
        </w:rPr>
        <w:t xml:space="preserve"> Dur</w:t>
      </w:r>
      <w:r w:rsidR="003D515F" w:rsidRPr="00990078">
        <w:rPr>
          <w:rFonts w:ascii="Garamond" w:hAnsi="Garamond" w:cs="Times New Roman"/>
        </w:rPr>
        <w:t xml:space="preserve">ing the Act phase, leadership will review implementation findings and make revisions to training, workflow supports, or intervention materials as needed. </w:t>
      </w:r>
      <w:r w:rsidR="003D515F" w:rsidRPr="00990078">
        <w:rPr>
          <w:rFonts w:ascii="Garamond" w:hAnsi="Garamond" w:cs="Times New Roman"/>
        </w:rPr>
        <w:lastRenderedPageBreak/>
        <w:t>These refinements will be incorporated into subsequent implementation cycles and into organizational procedures to support long-term sustainability.</w:t>
      </w:r>
    </w:p>
    <w:p w14:paraId="151FFE34" w14:textId="0B0DC239"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Implementation will occur over approximately twelve months, including six months of active rollout followed by six months of sustainment and monitoring. Required materials include the finalized checklist, updated EHR templates, training materials, audit tools, and tracking dashboards. Updated implementation materials and supporting appendices will be included in the final project package.</w:t>
      </w:r>
    </w:p>
    <w:p w14:paraId="0767D72D" w14:textId="77777777" w:rsidR="003D515F" w:rsidRPr="00990078" w:rsidRDefault="003D515F" w:rsidP="00F04DDE">
      <w:pPr>
        <w:pStyle w:val="Heading2"/>
        <w:rPr>
          <w:rFonts w:ascii="Garamond" w:hAnsi="Garamond" w:cs="Times New Roman"/>
          <w:b/>
          <w:bCs/>
          <w:color w:val="auto"/>
          <w:sz w:val="24"/>
          <w:szCs w:val="24"/>
        </w:rPr>
      </w:pPr>
      <w:bookmarkStart w:id="15" w:name="_Toc228175322"/>
      <w:r w:rsidRPr="00990078">
        <w:rPr>
          <w:rFonts w:ascii="Garamond" w:hAnsi="Garamond" w:cs="Times New Roman"/>
          <w:b/>
          <w:bCs/>
          <w:color w:val="auto"/>
          <w:sz w:val="24"/>
          <w:szCs w:val="24"/>
        </w:rPr>
        <w:t>Monitoring, Evaluation, and Learning Plan</w:t>
      </w:r>
      <w:bookmarkEnd w:id="15"/>
    </w:p>
    <w:p w14:paraId="35B69B5C" w14:textId="3FCD2F94"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A Monitoring, Evaluation, and Learning (MEL) plan is necessary to ensure that implementation activities are tracked systematically and that the project remains responsive to emerging issues during rollout. In implementation-focused projects, a MEL plan helps teams monitor whether implementation activities are occurring as intended, evaluate whether desired outcomes are being achieved, and use those findings to guide ongoing improvement.</w:t>
      </w:r>
    </w:p>
    <w:p w14:paraId="3972F33C" w14:textId="3DA71B6E"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For this project, two primary SMART goals will guide monitoring and evaluation. The first goal is to increase Medicaid documentation compliance to at least 90% within six months of implementation, as measured by monthly DCAT audit scores. The second goal is to reduce claim denials related to documentation errors by at least 25% within six months, as measured through </w:t>
      </w:r>
      <w:proofErr w:type="spellStart"/>
      <w:r w:rsidR="003D515F" w:rsidRPr="00990078">
        <w:rPr>
          <w:rFonts w:ascii="Garamond" w:hAnsi="Garamond" w:cs="Times New Roman"/>
        </w:rPr>
        <w:t>CentralReach</w:t>
      </w:r>
      <w:proofErr w:type="spellEnd"/>
      <w:r w:rsidR="003D515F" w:rsidRPr="00990078">
        <w:rPr>
          <w:rFonts w:ascii="Garamond" w:hAnsi="Garamond" w:cs="Times New Roman"/>
        </w:rPr>
        <w:t xml:space="preserve"> denial and billing reports. These goals are measurable, time-bound, and directly aligned with the project’s operational objectives.</w:t>
      </w:r>
    </w:p>
    <w:p w14:paraId="09EA2456" w14:textId="4ED41C8F"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Data for the MEL plan will be drawn from several sources, including </w:t>
      </w:r>
      <w:proofErr w:type="spellStart"/>
      <w:r w:rsidR="003D515F" w:rsidRPr="00990078">
        <w:rPr>
          <w:rFonts w:ascii="Garamond" w:hAnsi="Garamond" w:cs="Times New Roman"/>
        </w:rPr>
        <w:t>CentralReach</w:t>
      </w:r>
      <w:proofErr w:type="spellEnd"/>
      <w:r w:rsidR="003D515F" w:rsidRPr="00990078">
        <w:rPr>
          <w:rFonts w:ascii="Garamond" w:hAnsi="Garamond" w:cs="Times New Roman"/>
        </w:rPr>
        <w:t xml:space="preserve"> documentation and billing reports, monthly QA audits, and brief staff usability or satisfaction surveys. Audit data will be used to monitor checklist adherence and identify recurring documentation problems. Denial reports will help determine whether improved documentation is </w:t>
      </w:r>
      <w:r w:rsidR="003D515F" w:rsidRPr="00990078">
        <w:rPr>
          <w:rFonts w:ascii="Garamond" w:hAnsi="Garamond" w:cs="Times New Roman"/>
        </w:rPr>
        <w:lastRenderedPageBreak/>
        <w:t>associated with measurable reductions in reimbursement barriers. Staff feedback will provide information regarding acceptability, workflow fit, and perceived burden.</w:t>
      </w:r>
    </w:p>
    <w:p w14:paraId="76809B0E" w14:textId="19BA890B"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The Clinical Director and QA team will review these data regularly to determine whether additional staff support, workflow refinement, or procedural adjustment is needed. Additional resources required to support MEL activities may include protected QA audit time, access to dashboard reporting functions within </w:t>
      </w:r>
      <w:proofErr w:type="spellStart"/>
      <w:r w:rsidR="003D515F" w:rsidRPr="00990078">
        <w:rPr>
          <w:rFonts w:ascii="Garamond" w:hAnsi="Garamond" w:cs="Times New Roman"/>
        </w:rPr>
        <w:t>CentralReach</w:t>
      </w:r>
      <w:proofErr w:type="spellEnd"/>
      <w:r w:rsidR="003D515F" w:rsidRPr="00990078">
        <w:rPr>
          <w:rFonts w:ascii="Garamond" w:hAnsi="Garamond" w:cs="Times New Roman"/>
        </w:rPr>
        <w:t xml:space="preserve">, and staff time for brief feedback collection. </w:t>
      </w:r>
    </w:p>
    <w:p w14:paraId="3EC9618C" w14:textId="77777777" w:rsidR="003D515F" w:rsidRPr="00990078" w:rsidRDefault="003D515F" w:rsidP="00F04DDE">
      <w:pPr>
        <w:pStyle w:val="Heading2"/>
        <w:rPr>
          <w:rFonts w:ascii="Garamond" w:hAnsi="Garamond" w:cs="Times New Roman"/>
          <w:b/>
          <w:bCs/>
          <w:color w:val="auto"/>
          <w:sz w:val="24"/>
          <w:szCs w:val="24"/>
        </w:rPr>
      </w:pPr>
      <w:bookmarkStart w:id="16" w:name="_Toc228175323"/>
      <w:r w:rsidRPr="00990078">
        <w:rPr>
          <w:rFonts w:ascii="Garamond" w:hAnsi="Garamond" w:cs="Times New Roman"/>
          <w:b/>
          <w:bCs/>
          <w:color w:val="auto"/>
          <w:sz w:val="24"/>
          <w:szCs w:val="24"/>
        </w:rPr>
        <w:t>Data Collection Methods</w:t>
      </w:r>
      <w:bookmarkEnd w:id="16"/>
    </w:p>
    <w:p w14:paraId="506DB6B0" w14:textId="0EAB73D8"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Data for this project will be obtained from multiple sources, including the organization’s EHR system, internal documentation audits, and staff feedback surveys. </w:t>
      </w:r>
      <w:proofErr w:type="spellStart"/>
      <w:r w:rsidR="003D515F" w:rsidRPr="00990078">
        <w:rPr>
          <w:rFonts w:ascii="Garamond" w:hAnsi="Garamond" w:cs="Times New Roman"/>
        </w:rPr>
        <w:t>CentralReach</w:t>
      </w:r>
      <w:proofErr w:type="spellEnd"/>
      <w:r w:rsidR="003D515F" w:rsidRPr="00990078">
        <w:rPr>
          <w:rFonts w:ascii="Garamond" w:hAnsi="Garamond" w:cs="Times New Roman"/>
        </w:rPr>
        <w:t xml:space="preserve"> will provide operational data such as documentation completion rates, claim denial counts, and patterns in documentation-related errors. The DCAT will be used as the primary audit tool to assess the completeness and accuracy of session documentation. Brief electronic staff surveys will also be used to assess training effectiveness, intervention usability, and perceived workflow burden.</w:t>
      </w:r>
      <w:r w:rsidRPr="00990078">
        <w:rPr>
          <w:rFonts w:ascii="Garamond" w:hAnsi="Garamond" w:cs="Times New Roman"/>
        </w:rPr>
        <w:t xml:space="preserve"> </w:t>
      </w:r>
      <w:r w:rsidR="003D515F" w:rsidRPr="00990078">
        <w:rPr>
          <w:rFonts w:ascii="Garamond" w:hAnsi="Garamond" w:cs="Times New Roman"/>
        </w:rPr>
        <w:t>Baseline data will be collected during the four weeks preceding implementation. During this period, the QA team will audit a representative sample of approximately ten percent of session notes at each site using the standardized checklist. This process will establish a pre-implementation benchmark for documentation compliance and identify common error patterns.</w:t>
      </w:r>
    </w:p>
    <w:p w14:paraId="38B8D21B" w14:textId="52A78950"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Following implementation of the checklist and EHR template, post-intervention data will be collected monthly for six months using the same audit procedures to maintain consistency in measurement. These data will include documentation compliance rates, claim denial percentages, and staff feedback regarding the new documentation process.</w:t>
      </w:r>
      <w:r w:rsidRPr="00990078">
        <w:rPr>
          <w:rFonts w:ascii="Garamond" w:hAnsi="Garamond" w:cs="Times New Roman"/>
        </w:rPr>
        <w:t xml:space="preserve"> </w:t>
      </w:r>
      <w:r w:rsidR="003D515F" w:rsidRPr="00990078">
        <w:rPr>
          <w:rFonts w:ascii="Garamond" w:hAnsi="Garamond" w:cs="Times New Roman"/>
        </w:rPr>
        <w:t xml:space="preserve">The Clinical Director will oversee all data collection activities to ensure procedural consistency and data integrity. The QA team will conduct audits, extract EHR-based data, and prepare summary reports for review. Individual staff </w:t>
      </w:r>
      <w:r w:rsidR="003D515F" w:rsidRPr="00990078">
        <w:rPr>
          <w:rFonts w:ascii="Garamond" w:hAnsi="Garamond" w:cs="Times New Roman"/>
        </w:rPr>
        <w:lastRenderedPageBreak/>
        <w:t>performance will not be used for disciplinary action; rather, findings will be analyzed in aggregate to support systems-level quality improvement and implementation refinement.</w:t>
      </w:r>
    </w:p>
    <w:p w14:paraId="25612B4E" w14:textId="004BB695"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All data will be stored securely within </w:t>
      </w:r>
      <w:proofErr w:type="spellStart"/>
      <w:r w:rsidR="003D515F" w:rsidRPr="00990078">
        <w:rPr>
          <w:rFonts w:ascii="Garamond" w:hAnsi="Garamond" w:cs="Times New Roman"/>
        </w:rPr>
        <w:t>CentralReach</w:t>
      </w:r>
      <w:proofErr w:type="spellEnd"/>
      <w:r w:rsidR="003D515F" w:rsidRPr="00990078">
        <w:rPr>
          <w:rFonts w:ascii="Garamond" w:hAnsi="Garamond" w:cs="Times New Roman"/>
        </w:rPr>
        <w:t xml:space="preserve"> and the organization’s encrypted network environment. Only authorized personnel, including the Clinical Director and QA team, will have access to identifiable records. Audit findings and survey responses will be de-identified prior to analysis whenever feasible to protect confidentiality. All project procedures will comply with the Health Insurance Portability and Accountability Act (HIPAA) and Indiana Medicaid privacy expectations. Data will be retained for twelve months following project completion and then deleted according to organizational policy.</w:t>
      </w:r>
    </w:p>
    <w:p w14:paraId="1BC70C7B" w14:textId="77777777" w:rsidR="003D515F" w:rsidRPr="00990078" w:rsidRDefault="003D515F" w:rsidP="00F04DDE">
      <w:pPr>
        <w:pStyle w:val="Heading2"/>
        <w:rPr>
          <w:rFonts w:ascii="Garamond" w:hAnsi="Garamond" w:cs="Times New Roman"/>
          <w:b/>
          <w:bCs/>
          <w:color w:val="auto"/>
          <w:sz w:val="24"/>
          <w:szCs w:val="24"/>
        </w:rPr>
      </w:pPr>
      <w:bookmarkStart w:id="17" w:name="_Toc228175324"/>
      <w:r w:rsidRPr="00990078">
        <w:rPr>
          <w:rFonts w:ascii="Garamond" w:hAnsi="Garamond" w:cs="Times New Roman"/>
          <w:b/>
          <w:bCs/>
          <w:color w:val="auto"/>
          <w:sz w:val="24"/>
          <w:szCs w:val="24"/>
        </w:rPr>
        <w:t>Outcome Measure</w:t>
      </w:r>
      <w:bookmarkEnd w:id="17"/>
    </w:p>
    <w:p w14:paraId="3E36868D" w14:textId="7237374B"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Documentation Compliance Audit Tool (DCAT) will serve as the primary outcome measure for evaluating improvements in Medicaid documentation compliance. The DCAT is a structured checklist designed to assess adherence to required documentation standards, including service date and duration, location, Current Procedural Terminology (CPT) code accuracy, alignment with individualized goals, and provider authentication. Each audited note is scored as compliant or noncompliant across twenty required elements, producing an overall compliance percentage.</w:t>
      </w:r>
    </w:p>
    <w:p w14:paraId="4CD4AE15" w14:textId="4B5137C6"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DCAT was developed using evidence-based compliance principles and aligns with documentation standards established by the Centers for Medicare &amp; Medicaid Services (CMS, 2023). Comparable fidelity and compliance tools in behavioral health research have demonstrated strong psychometric properties, including interrater reliability ranging from κ = .84 to .92 and internal consistency coefficients averaging α = .87 (</w:t>
      </w:r>
      <w:proofErr w:type="spellStart"/>
      <w:r w:rsidR="003D515F" w:rsidRPr="00990078">
        <w:rPr>
          <w:rFonts w:ascii="Garamond" w:hAnsi="Garamond" w:cs="Times New Roman"/>
        </w:rPr>
        <w:t>Beidas</w:t>
      </w:r>
      <w:proofErr w:type="spellEnd"/>
      <w:r w:rsidR="003D515F" w:rsidRPr="00990078">
        <w:rPr>
          <w:rFonts w:ascii="Garamond" w:hAnsi="Garamond" w:cs="Times New Roman"/>
        </w:rPr>
        <w:t xml:space="preserve"> et al., 2017; Walrath et al., 2020). Within the current project, reliability will be supported through monthly dual scoring of a ten percent sample of audited notes, with discrepancies resolved collaboratively.</w:t>
      </w:r>
    </w:p>
    <w:p w14:paraId="162733D3" w14:textId="05D586C4" w:rsidR="003D515F" w:rsidRPr="00990078" w:rsidRDefault="00DF487E" w:rsidP="00DF487E">
      <w:pPr>
        <w:spacing w:after="0" w:line="480" w:lineRule="auto"/>
        <w:rPr>
          <w:rFonts w:ascii="Garamond" w:hAnsi="Garamond" w:cs="Times New Roman"/>
        </w:rPr>
      </w:pPr>
      <w:r w:rsidRPr="00990078">
        <w:rPr>
          <w:rFonts w:ascii="Garamond" w:hAnsi="Garamond" w:cs="Times New Roman"/>
        </w:rPr>
        <w:lastRenderedPageBreak/>
        <w:tab/>
      </w:r>
      <w:r w:rsidR="003D515F" w:rsidRPr="00990078">
        <w:rPr>
          <w:rFonts w:ascii="Garamond" w:hAnsi="Garamond" w:cs="Times New Roman"/>
        </w:rPr>
        <w:t xml:space="preserve">Construct validity is supported through expert review by a </w:t>
      </w:r>
      <w:proofErr w:type="gramStart"/>
      <w:r w:rsidR="003D515F" w:rsidRPr="00990078">
        <w:rPr>
          <w:rFonts w:ascii="Garamond" w:hAnsi="Garamond" w:cs="Times New Roman"/>
        </w:rPr>
        <w:t>Board Certified</w:t>
      </w:r>
      <w:proofErr w:type="gramEnd"/>
      <w:r w:rsidR="003D515F" w:rsidRPr="00990078">
        <w:rPr>
          <w:rFonts w:ascii="Garamond" w:hAnsi="Garamond" w:cs="Times New Roman"/>
        </w:rPr>
        <w:t xml:space="preserve"> Behavior Analyst–Doctoral (BCBA-D) and through alignment with organizational Medicaid documentation expectations. In practice, the DCAT will function not only as an outcome measure but also as an implementation feedback tool. The QA team and Billing Specialist will use it to conduct monthly audits, record findings, and generate reports for leadership review. These findings will guide retraining, workflow adjustments, and future PDSA cycles as needed.</w:t>
      </w:r>
    </w:p>
    <w:p w14:paraId="78FBD11C" w14:textId="77777777" w:rsidR="003D515F" w:rsidRPr="00990078" w:rsidRDefault="003D515F" w:rsidP="00F04DDE">
      <w:pPr>
        <w:pStyle w:val="Heading2"/>
        <w:rPr>
          <w:rFonts w:ascii="Garamond" w:hAnsi="Garamond" w:cs="Times New Roman"/>
          <w:b/>
          <w:bCs/>
          <w:color w:val="auto"/>
          <w:sz w:val="24"/>
          <w:szCs w:val="24"/>
        </w:rPr>
      </w:pPr>
      <w:bookmarkStart w:id="18" w:name="_Toc228175325"/>
      <w:r w:rsidRPr="00990078">
        <w:rPr>
          <w:rFonts w:ascii="Garamond" w:hAnsi="Garamond" w:cs="Times New Roman"/>
          <w:b/>
          <w:bCs/>
          <w:color w:val="auto"/>
          <w:sz w:val="24"/>
          <w:szCs w:val="24"/>
        </w:rPr>
        <w:t>Stages of Implementation Completion Model</w:t>
      </w:r>
      <w:bookmarkEnd w:id="18"/>
    </w:p>
    <w:p w14:paraId="6F92067F" w14:textId="69FDC2E7"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Stages of Implementation Completion (SIC) framework provides a structured method for conceptualizing implementation as a sequence of measurable stages rather than a single event. Implementation science literature emphasizes that evidence-based practices often fail when organizations underestimate the complexity of readiness-building, infrastructure development, and organizational alignment prior to rollout (Chu, 2024). The SIC model addresses this issue by outlining a staged process through which implementation activities can be monitored and evaluated over time (Pellecchia et al., 2023).</w:t>
      </w:r>
    </w:p>
    <w:p w14:paraId="5010228F" w14:textId="472B150C"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SIC is particularly useful for this project because successful adoption of the documentation intervention depends not only on the existence of the checklist itself, but also on whether the organization has completed the preparatory work necessary to support implementation. This includes activities such as baseline assessment, workflow design, stakeholder engagement, and monitoring system development. In this way, the SIC provides a framework for determining whether the organization is adequately prepared to move from planning into active implementation (Fernandez et al., 2023).</w:t>
      </w:r>
    </w:p>
    <w:p w14:paraId="160A9B7F" w14:textId="24281E66"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At the time of this project, the organization is best conceptualized as operating within the </w:t>
      </w:r>
      <w:proofErr w:type="gramStart"/>
      <w:r w:rsidR="003D515F" w:rsidRPr="00990078">
        <w:rPr>
          <w:rFonts w:ascii="Garamond" w:hAnsi="Garamond" w:cs="Times New Roman"/>
        </w:rPr>
        <w:t>Pre-Implementation</w:t>
      </w:r>
      <w:proofErr w:type="gramEnd"/>
      <w:r w:rsidR="003D515F" w:rsidRPr="00990078">
        <w:rPr>
          <w:rFonts w:ascii="Garamond" w:hAnsi="Garamond" w:cs="Times New Roman"/>
        </w:rPr>
        <w:t xml:space="preserve"> stage of the SIC, specifically the Readiness and Preparation phase. This phase is focused on establishing the organizational capacity necessary to support rollout of the standardized </w:t>
      </w:r>
      <w:r w:rsidR="003D515F" w:rsidRPr="00990078">
        <w:rPr>
          <w:rFonts w:ascii="Garamond" w:hAnsi="Garamond" w:cs="Times New Roman"/>
        </w:rPr>
        <w:lastRenderedPageBreak/>
        <w:t xml:space="preserve">documentation checklist and EHR supports. Activities within this phase include conducting baseline documentation audits, identifying implementation leadership, finalizing intervention materials, and refining workflow compatibility through stakeholder input. </w:t>
      </w:r>
    </w:p>
    <w:p w14:paraId="2FFC1EEB" w14:textId="77777777" w:rsidR="003D515F" w:rsidRPr="00990078" w:rsidRDefault="003D515F" w:rsidP="00F04DDE">
      <w:pPr>
        <w:pStyle w:val="Heading2"/>
        <w:rPr>
          <w:rFonts w:ascii="Garamond" w:hAnsi="Garamond" w:cs="Times New Roman"/>
          <w:b/>
          <w:bCs/>
          <w:color w:val="auto"/>
          <w:sz w:val="24"/>
          <w:szCs w:val="24"/>
        </w:rPr>
      </w:pPr>
      <w:bookmarkStart w:id="19" w:name="_Toc228175326"/>
      <w:r w:rsidRPr="00990078">
        <w:rPr>
          <w:rFonts w:ascii="Garamond" w:hAnsi="Garamond" w:cs="Times New Roman"/>
          <w:b/>
          <w:bCs/>
          <w:color w:val="auto"/>
          <w:sz w:val="24"/>
          <w:szCs w:val="24"/>
        </w:rPr>
        <w:t>SIC Model Evaluation Plan</w:t>
      </w:r>
      <w:bookmarkEnd w:id="19"/>
    </w:p>
    <w:p w14:paraId="763AF7A8" w14:textId="05F3BB19"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Two implementation activities are especially important for advancing this project from the current SIC phase into active implementation. The first is completion of a baseline documentation audit using the DCAT. The second is stakeholder-informed refinement of the standardized checklist and associated EHR template. Both activities are consistent with the Readiness and Preparation phase because they establish the performance benchmark, clarify the implementation target, and improve intervention fit prior to organization-wide rollout.</w:t>
      </w:r>
    </w:p>
    <w:p w14:paraId="4F3BE383" w14:textId="725D6D8B"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baseline audit is necessary because it provides objective evidence of current documentation performance and identifies the specific documentation errors the intervention is intended to address. This activity is consistent with implementation science guidance emphasizing the importance of identifying local barriers and operational realities prior to implementation (Fernandez et al., 2023). Evaluation of this activity will include completion of the audit process, calculation of baseline compliance rates, and summarization of recurring documentation error categories. These data will indicate whether the organization has adequately defined the problem and established a foundation for measuring improvement over time.</w:t>
      </w:r>
    </w:p>
    <w:p w14:paraId="4793FF9E" w14:textId="054067EF"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second critical activity is stakeholder-informed refinement of the checklist and EHR template. This activity is necessary because staff-facing tools are more likely to be adopted when end users perceive them as useful, realistic, and compatible with workflow demands (Pellecchia et al., 2023; Kwong et al., 2025). Evaluation of this activity will include pilot feedback, structured usability input, and documentation of revisions made to the intervention tools prior to broader rollout.</w:t>
      </w:r>
    </w:p>
    <w:p w14:paraId="13C220E0" w14:textId="12DFE7CF" w:rsidR="003D515F" w:rsidRPr="00990078" w:rsidRDefault="00DF487E" w:rsidP="00DF487E">
      <w:pPr>
        <w:spacing w:after="0" w:line="480" w:lineRule="auto"/>
        <w:rPr>
          <w:rFonts w:ascii="Garamond" w:hAnsi="Garamond" w:cs="Times New Roman"/>
        </w:rPr>
      </w:pPr>
      <w:r w:rsidRPr="00990078">
        <w:rPr>
          <w:rFonts w:ascii="Garamond" w:hAnsi="Garamond" w:cs="Times New Roman"/>
        </w:rPr>
        <w:lastRenderedPageBreak/>
        <w:tab/>
      </w:r>
      <w:r w:rsidR="003D515F" w:rsidRPr="00990078">
        <w:rPr>
          <w:rFonts w:ascii="Garamond" w:hAnsi="Garamond" w:cs="Times New Roman"/>
        </w:rPr>
        <w:t>A key concept relevant to this stage of implementation is the role of the purveyor. In implementation science, a purveyor is the individual or team responsible for supporting intervention adoption, monitoring implementation progress, and facilitating problem-solving when barriers arise (Chu, 2024). For this project, the purveyor role will be fulfilled by the Clinical Director in collaboration with the QA team. This structure is appropriate because these individuals are directly positioned to oversee documentation quality, monitor implementation activities, interpret audit findings, and coordinate corrective action as needed (Chu, 2024; Pellecchia et al., 2023).</w:t>
      </w:r>
    </w:p>
    <w:p w14:paraId="1973E800" w14:textId="32CCBB94"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To support this role, specific monitoring tools and evaluation methods will be used. The DCAT will serve as the primary evaluation tool for tracking documentation compliance and identifying whether readiness activities are translating into measurable improvement. In addition, staff usability and acceptability feedback will be used to assess workflow fit and identify barriers that remain unresolved prior to broader implementation. Together, these methods provide the purveyor with the information needed to determine whether the project is prepared to move into the next implementation phase and whether additional preparation is required.</w:t>
      </w:r>
    </w:p>
    <w:p w14:paraId="62D1AA23" w14:textId="77777777" w:rsidR="003D515F" w:rsidRPr="00990078" w:rsidRDefault="003D515F" w:rsidP="00F04DDE">
      <w:pPr>
        <w:pStyle w:val="Heading2"/>
        <w:rPr>
          <w:rFonts w:ascii="Garamond" w:hAnsi="Garamond" w:cs="Times New Roman"/>
          <w:b/>
          <w:bCs/>
          <w:color w:val="auto"/>
          <w:sz w:val="24"/>
          <w:szCs w:val="24"/>
        </w:rPr>
      </w:pPr>
      <w:bookmarkStart w:id="20" w:name="_Toc228175327"/>
      <w:r w:rsidRPr="00990078">
        <w:rPr>
          <w:rFonts w:ascii="Garamond" w:hAnsi="Garamond" w:cs="Times New Roman"/>
          <w:b/>
          <w:bCs/>
          <w:color w:val="auto"/>
          <w:sz w:val="24"/>
          <w:szCs w:val="24"/>
        </w:rPr>
        <w:t>SIC Implementation Completion (Model)</w:t>
      </w:r>
      <w:bookmarkEnd w:id="20"/>
    </w:p>
    <w:p w14:paraId="2078ECFD" w14:textId="7344EC43"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Stages of Implementation Completion (SIC) framework provides a structured model for understanding implementation as a phased and measurable process rather than a single event. The SIC model includes multiple stages that progress from pre-implementation through implementation and into sustainment. These stages typically include engagement, feasibility assessment, readiness and preparation, implementation, and sustainability. Each stage is associated with specific activities that support movement to the next phase and allow for monitoring of implementation progress over time (Pellecchia et al., 2023).</w:t>
      </w:r>
    </w:p>
    <w:p w14:paraId="5A286B71" w14:textId="3628BBD4"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The purpose of the SIC model is to ensure that organizations complete the necessary preparatory and operational steps required for successful adoption of an intervention. </w:t>
      </w:r>
      <w:r w:rsidR="003D515F" w:rsidRPr="00990078">
        <w:rPr>
          <w:rFonts w:ascii="Garamond" w:hAnsi="Garamond" w:cs="Times New Roman"/>
        </w:rPr>
        <w:lastRenderedPageBreak/>
        <w:t>Implementation science literature emphasizes that failure to adequately complete early-stage activities, such as readiness assessment and workflow alignment, often results in poor adoption and reduced sustainability (Chu, 2024; Fernandez et al., 2023). By organizing implementation into defined stages, the SIC model allows for systematic tracking of progress and identification of gaps prior to advancing to subsequent phases.</w:t>
      </w:r>
    </w:p>
    <w:p w14:paraId="59A78241" w14:textId="29330BC3"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Within the context of this project, the organization is currently positioned in the </w:t>
      </w:r>
      <w:proofErr w:type="gramStart"/>
      <w:r w:rsidR="003D515F" w:rsidRPr="00990078">
        <w:rPr>
          <w:rFonts w:ascii="Garamond" w:hAnsi="Garamond" w:cs="Times New Roman"/>
        </w:rPr>
        <w:t>Pre-Implementation</w:t>
      </w:r>
      <w:proofErr w:type="gramEnd"/>
      <w:r w:rsidR="003D515F" w:rsidRPr="00990078">
        <w:rPr>
          <w:rFonts w:ascii="Garamond" w:hAnsi="Garamond" w:cs="Times New Roman"/>
        </w:rPr>
        <w:t xml:space="preserve"> stage, specifically within the Readiness and Preparation phase. At this stage, the organization has identified the problem of Medicaid documentation errors and has selected a standardized note conversion checklist as the intervention. Current activities include baseline documentation audits, development of the checklist and electronic note template, stakeholder engagement, and refinement of workflow integration. These activities align with readiness-focused objectives, including establishing implementation infrastructure, identifying barriers and facilitators, and ensuring that the intervention is feasible within the existing system.</w:t>
      </w:r>
    </w:p>
    <w:p w14:paraId="67DE267C" w14:textId="77777777" w:rsidR="00511392" w:rsidRPr="00990078" w:rsidRDefault="00511392" w:rsidP="00F04DDE">
      <w:pPr>
        <w:pStyle w:val="Heading2"/>
        <w:rPr>
          <w:rFonts w:ascii="Garamond" w:hAnsi="Garamond" w:cs="Times New Roman"/>
          <w:b/>
          <w:bCs/>
          <w:color w:val="auto"/>
          <w:sz w:val="24"/>
          <w:szCs w:val="24"/>
        </w:rPr>
      </w:pPr>
      <w:bookmarkStart w:id="21" w:name="_Toc228175328"/>
      <w:r w:rsidRPr="00990078">
        <w:rPr>
          <w:rFonts w:ascii="Garamond" w:hAnsi="Garamond" w:cs="Times New Roman"/>
          <w:b/>
          <w:bCs/>
          <w:color w:val="auto"/>
          <w:sz w:val="24"/>
          <w:szCs w:val="24"/>
        </w:rPr>
        <w:t>Evaluation Plan for the SIC Model</w:t>
      </w:r>
      <w:bookmarkEnd w:id="21"/>
    </w:p>
    <w:p w14:paraId="02EA661D" w14:textId="1F07309E"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To progress from the Readiness and Preparation phase to active implementation, two key implementation strategy activities have been identified: (1) completion of a baseline documentation audit using the Documentation Compliance Audit Tool (DCAT), and (2) stakeholder-informed refinement of the standardized checklist and embedded electronic note template.</w:t>
      </w:r>
    </w:p>
    <w:p w14:paraId="755C1822" w14:textId="71E0DDD6"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The first activity, completion of the baseline audit, is essential because it establishes an objective measure of current documentation performance and identifies the most common sources of claim denials. This activity directly aligns with the SIC readiness phase, as it provides the data necessary to define the implementation target and guide intervention design. Evaluation of this activity will include documentation of audit completion, calculation of baseline compliance rates, and identification of recurring error patterns. These data will be used to determine whether the </w:t>
      </w:r>
      <w:r w:rsidR="003D515F" w:rsidRPr="00990078">
        <w:rPr>
          <w:rFonts w:ascii="Garamond" w:hAnsi="Garamond" w:cs="Times New Roman"/>
        </w:rPr>
        <w:lastRenderedPageBreak/>
        <w:t>organization has sufficiently defined the problem and is prepared to measure improvement during implementation (Fernandez et al., 2023).</w:t>
      </w:r>
    </w:p>
    <w:p w14:paraId="6916D9FF" w14:textId="5AAB3CAC"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second activity, stakeholder-informed refinement of the checklist and EHR template, is necessary to ensure that the intervention is practical, acceptable, and aligned with workflow demands. This activity supports movement within the readiness phase by increasing intervention fit and usability. Evaluation of this activity will include collection of structured staff feedback, documentation of revisions made to the checklist and template, and evidence that identified workflow concerns have been addressed. This aligns with implementation science findings that interventions are more likely to be adopted when end users are involved in design and refinement (Pellecchia et al., 2023; Kwong et al., 2025).</w:t>
      </w:r>
    </w:p>
    <w:p w14:paraId="2CB5EFF8" w14:textId="77777777" w:rsidR="003D515F" w:rsidRPr="00990078" w:rsidRDefault="003D515F" w:rsidP="00DF487E">
      <w:pPr>
        <w:spacing w:after="0" w:line="480" w:lineRule="auto"/>
        <w:rPr>
          <w:rFonts w:ascii="Garamond" w:hAnsi="Garamond" w:cs="Times New Roman"/>
        </w:rPr>
      </w:pPr>
      <w:r w:rsidRPr="00990078">
        <w:rPr>
          <w:rFonts w:ascii="Garamond" w:hAnsi="Garamond" w:cs="Times New Roman"/>
        </w:rPr>
        <w:t>Both activities are logically aligned with the SIC stage and are required before advancing to active implementation. The evaluation data collected from these activities directly informs readiness by demonstrating whether the organization has adequate infrastructure, intervention clarity, and stakeholder alignment to proceed.</w:t>
      </w:r>
    </w:p>
    <w:p w14:paraId="2198B45C" w14:textId="5AE12BC6"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A key concept within the SIC framework is the role of the purveyor, defined as the individual or team responsible for supporting implementation, monitoring progress, and facilitating problem-solving throughout the process (Chu, 2024). </w:t>
      </w:r>
      <w:r w:rsidR="004C0B56" w:rsidRPr="00990078">
        <w:rPr>
          <w:rFonts w:ascii="Garamond" w:hAnsi="Garamond" w:cs="Times New Roman"/>
        </w:rPr>
        <w:t xml:space="preserve">The </w:t>
      </w:r>
      <w:r w:rsidR="003D515F" w:rsidRPr="00990078">
        <w:rPr>
          <w:rFonts w:ascii="Garamond" w:hAnsi="Garamond" w:cs="Times New Roman"/>
        </w:rPr>
        <w:t>purveyor role will be fulfilled by the Clinical Director in collaboration with the QA team. These individuals will use evaluation tools, including the DCAT audit results and stakeholder feedback data, to monitor readiness, identify barriers, and determine whether the project is prepared to advance to the next stage of implementation. The purveyor will also guide decision-making related to training, workflow adjustments, and implementation pacing based on these data.</w:t>
      </w:r>
    </w:p>
    <w:p w14:paraId="7A4BE35E" w14:textId="77777777" w:rsidR="003D515F" w:rsidRPr="00990078" w:rsidRDefault="003D515F" w:rsidP="00F04DDE">
      <w:pPr>
        <w:pStyle w:val="Heading2"/>
        <w:rPr>
          <w:rFonts w:ascii="Garamond" w:hAnsi="Garamond" w:cs="Times New Roman"/>
          <w:b/>
          <w:bCs/>
          <w:color w:val="auto"/>
          <w:sz w:val="24"/>
          <w:szCs w:val="24"/>
        </w:rPr>
      </w:pPr>
      <w:bookmarkStart w:id="22" w:name="_Toc228175329"/>
      <w:r w:rsidRPr="00990078">
        <w:rPr>
          <w:rFonts w:ascii="Garamond" w:hAnsi="Garamond" w:cs="Times New Roman"/>
          <w:b/>
          <w:bCs/>
          <w:color w:val="auto"/>
          <w:sz w:val="24"/>
          <w:szCs w:val="24"/>
        </w:rPr>
        <w:lastRenderedPageBreak/>
        <w:t>SIC Model Project Discussion</w:t>
      </w:r>
      <w:bookmarkEnd w:id="22"/>
    </w:p>
    <w:p w14:paraId="4C5E84F5" w14:textId="2C8F1B24"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This project integrates both an evidence-based intervention (EBI) and an implementation strategy to address Medicaid claim denials in Applied Behavior Analysis (ABA) services. The EBI, guided by the PICOT question, evaluates whether the use of a standardized note conversion checklist reduces claim denial rates compared to existing documentation practices. The primary dependent variables include claim denial rates and documentation compliance, while the independent variable is the implementation of the standardized checklist. These outcomes are supported by literature demonstrating that documentation errors are a primary driver of claim denials and that structured documentation tools improve accuracy and reduce preventable rejections (Chandramouli, 2021; Johnson et al., 2023; Luna et al., 2018).</w:t>
      </w:r>
    </w:p>
    <w:p w14:paraId="611F95ED" w14:textId="0910F3FF"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implementation strategy focuses on how the intervention is adopted, used, and sustained within the organization. Evaluation questions include whether staff consistently use the checklist, whether documentation accuracy improves over time, and whether the intervention is maintained within routine workflow. These implementation outcomes reflect the importance of workflow integration, training, and monitoring in achieving sustained practice change (Bunting &amp; de Klerk, 2022; Kramer et al., 2017; Kwong et al., 2025).</w:t>
      </w:r>
    </w:p>
    <w:p w14:paraId="13C786A8" w14:textId="6A6D45CA"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Together, the project represents an EBI and implementation hybrid model in which both clinical outcomes and implementation processes are evaluated simultaneously. The checklist addresses the documentation problem directly, while implementation strategies—including training, EHR integration, audit-and-feedback, and stakeholder engagement—support adoption and sustainability. This combined approach is necessary because improvements in outcomes depend on both the effectiveness of the intervention and its consistent use in practice (Levine et al., 2022; Johnson et al., 2023).</w:t>
      </w:r>
    </w:p>
    <w:p w14:paraId="6885A189" w14:textId="7D1B5382" w:rsidR="003D515F" w:rsidRPr="00990078" w:rsidRDefault="00DF487E" w:rsidP="00DF487E">
      <w:pPr>
        <w:spacing w:after="0" w:line="480" w:lineRule="auto"/>
        <w:rPr>
          <w:rFonts w:ascii="Garamond" w:hAnsi="Garamond" w:cs="Times New Roman"/>
        </w:rPr>
      </w:pPr>
      <w:r w:rsidRPr="00990078">
        <w:rPr>
          <w:rFonts w:ascii="Garamond" w:hAnsi="Garamond" w:cs="Times New Roman"/>
        </w:rPr>
        <w:lastRenderedPageBreak/>
        <w:tab/>
      </w:r>
      <w:r w:rsidR="003D515F" w:rsidRPr="00990078">
        <w:rPr>
          <w:rFonts w:ascii="Garamond" w:hAnsi="Garamond" w:cs="Times New Roman"/>
        </w:rPr>
        <w:t>The project can be used by healthcare organizations as a model for reducing claim denials and improving documentation quality. The structured combination of intervention design, implementation planning, and evaluation metrics provides a framework that can support internal quality improvement initiatives, adoption of evidence-based practices, and development of grant-funded programs focused on operational efficiency and access to care (Khalili &amp; El-</w:t>
      </w:r>
      <w:proofErr w:type="spellStart"/>
      <w:r w:rsidR="003D515F" w:rsidRPr="00990078">
        <w:rPr>
          <w:rFonts w:ascii="Garamond" w:hAnsi="Garamond" w:cs="Times New Roman"/>
        </w:rPr>
        <w:t>Dakhakhni</w:t>
      </w:r>
      <w:proofErr w:type="spellEnd"/>
      <w:r w:rsidR="003D515F" w:rsidRPr="00990078">
        <w:rPr>
          <w:rFonts w:ascii="Garamond" w:hAnsi="Garamond" w:cs="Times New Roman"/>
        </w:rPr>
        <w:t>, 2023).</w:t>
      </w:r>
    </w:p>
    <w:p w14:paraId="6993020C" w14:textId="1C5FAF78"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Critical contextual factors include the type of providers involved (RBTs, </w:t>
      </w:r>
      <w:proofErr w:type="spellStart"/>
      <w:r w:rsidR="003D515F" w:rsidRPr="00990078">
        <w:rPr>
          <w:rFonts w:ascii="Garamond" w:hAnsi="Garamond" w:cs="Times New Roman"/>
        </w:rPr>
        <w:t>BCaBAs</w:t>
      </w:r>
      <w:proofErr w:type="spellEnd"/>
      <w:r w:rsidR="003D515F" w:rsidRPr="00990078">
        <w:rPr>
          <w:rFonts w:ascii="Garamond" w:hAnsi="Garamond" w:cs="Times New Roman"/>
        </w:rPr>
        <w:t>, and BCBAs), the Medicaid-funded nature of services, the use of an EHR system, and the need for coordination across clinical, billing, and administrative teams. Organizational readiness, including leadership support and availability of QA resources, is necessary to support implementation. Timing and sequencing of implementation phases also influence success.</w:t>
      </w:r>
    </w:p>
    <w:p w14:paraId="40482EB5" w14:textId="4FC044EC"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Several limitations should be considered. The project is conducted within a single organization, which may limit generalizability. Additionally, the intervention addresses documentation-related denials but does not account for all external payer-related denial factors. Resource requirements, including time for training, auditing, and system updates, may also affect feasibility in other settings (</w:t>
      </w:r>
      <w:r w:rsidR="00AB4806" w:rsidRPr="00990078">
        <w:rPr>
          <w:rFonts w:ascii="Garamond" w:hAnsi="Garamond" w:cs="Times New Roman"/>
        </w:rPr>
        <w:t>(Johnson et al., 2023</w:t>
      </w:r>
      <w:r w:rsidR="003D515F" w:rsidRPr="00990078">
        <w:rPr>
          <w:rFonts w:ascii="Garamond" w:hAnsi="Garamond" w:cs="Times New Roman"/>
        </w:rPr>
        <w:t>).</w:t>
      </w:r>
      <w:r w:rsidRPr="00990078">
        <w:rPr>
          <w:rFonts w:ascii="Garamond" w:hAnsi="Garamond" w:cs="Times New Roman"/>
        </w:rPr>
        <w:t xml:space="preserve"> </w:t>
      </w:r>
      <w:r w:rsidR="003D515F" w:rsidRPr="00990078">
        <w:rPr>
          <w:rFonts w:ascii="Garamond" w:hAnsi="Garamond" w:cs="Times New Roman"/>
        </w:rPr>
        <w:t>External contextual factors, such as changes in Medicaid policy, reimbursement requirements, or administrative burden, may influence project outcomes. Broader healthcare system challenges, including workforce shortages and increasing documentation demands, may also affect implementation capacity (</w:t>
      </w:r>
      <w:proofErr w:type="spellStart"/>
      <w:r w:rsidR="003D515F" w:rsidRPr="00990078">
        <w:rPr>
          <w:rFonts w:ascii="Garamond" w:hAnsi="Garamond" w:cs="Times New Roman"/>
        </w:rPr>
        <w:t>Wagenschieber</w:t>
      </w:r>
      <w:proofErr w:type="spellEnd"/>
      <w:r w:rsidR="003D515F" w:rsidRPr="00990078">
        <w:rPr>
          <w:rFonts w:ascii="Garamond" w:hAnsi="Garamond" w:cs="Times New Roman"/>
        </w:rPr>
        <w:t xml:space="preserve"> &amp; Blunck, 2024; Muralidharan et al., 2025).</w:t>
      </w:r>
    </w:p>
    <w:p w14:paraId="2C349A2A" w14:textId="1E20DEEA"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 xml:space="preserve">Despite these challenges, several facilitators support implementation. The presence of an integrated EHR system allows for embedding the checklist into workflow, leadership involvement supports accountability, and the intervention itself is low-cost and compatible with existing processes. Prior research indicates that checklist-based interventions are most effective when </w:t>
      </w:r>
      <w:r w:rsidR="003D515F" w:rsidRPr="00990078">
        <w:rPr>
          <w:rFonts w:ascii="Garamond" w:hAnsi="Garamond" w:cs="Times New Roman"/>
        </w:rPr>
        <w:lastRenderedPageBreak/>
        <w:t>integrated into routine practice and supported by training and feedback, all of which are incorporated into this project (Bunting &amp; de Klerk, 2022; Kramer et al., 2017; Kwong et al., 2025).</w:t>
      </w:r>
    </w:p>
    <w:p w14:paraId="4B7028AD" w14:textId="77777777" w:rsidR="003D515F" w:rsidRPr="00990078" w:rsidRDefault="003D515F" w:rsidP="00F04DDE">
      <w:pPr>
        <w:pStyle w:val="Heading1"/>
        <w:jc w:val="center"/>
        <w:rPr>
          <w:rFonts w:ascii="Garamond" w:hAnsi="Garamond" w:cs="Times New Roman"/>
          <w:b/>
          <w:bCs/>
          <w:color w:val="auto"/>
          <w:sz w:val="24"/>
          <w:szCs w:val="24"/>
        </w:rPr>
      </w:pPr>
      <w:bookmarkStart w:id="23" w:name="_Toc228175330"/>
      <w:r w:rsidRPr="00990078">
        <w:rPr>
          <w:rFonts w:ascii="Garamond" w:hAnsi="Garamond" w:cs="Times New Roman"/>
          <w:b/>
          <w:bCs/>
          <w:color w:val="auto"/>
          <w:sz w:val="24"/>
          <w:szCs w:val="24"/>
        </w:rPr>
        <w:t>Conclusion</w:t>
      </w:r>
      <w:bookmarkEnd w:id="23"/>
    </w:p>
    <w:p w14:paraId="28D55ECC" w14:textId="6E1484EE"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Documentation-related Medicaid claim denials represent a persistent and costly challenge in Applied Behavior Analysis (ABA) service delivery, with implications that extend beyond reimbursement alone. Inaccurate or incomplete documentation can compromise operational efficiency, increase administrative burden, delay payment, and create avoidable barriers to continuity of care. As healthcare systems continue to emphasize accountability, compliance, and value-based performance, improving documentation quality has become both a financial and clinical priority.</w:t>
      </w:r>
    </w:p>
    <w:p w14:paraId="1CA28BCF" w14:textId="7F462901"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The present project was developed to address this issue through implementation of a standardized note conversion checklist supported by a structured implementation strategy. Rather than approaching documentation errors solely as isolated staff mistakes, this proposal conceptualizes the problem as a systems-level process issue requiring intervention at both the practice and implementation levels. By integrating an evidence-based documentation tool with workflow redesign, staff training, audit-and-feedback procedures, stakeholder engagement, and implementation science frameworks, the project provides a comprehensive and actionable plan for improving Medicaid documentation compliance.</w:t>
      </w:r>
    </w:p>
    <w:p w14:paraId="22DA338E" w14:textId="41A019BA" w:rsidR="003D515F" w:rsidRPr="00990078" w:rsidRDefault="00DF487E" w:rsidP="00DF487E">
      <w:pPr>
        <w:spacing w:after="0" w:line="480" w:lineRule="auto"/>
        <w:rPr>
          <w:rFonts w:ascii="Garamond" w:hAnsi="Garamond" w:cs="Times New Roman"/>
        </w:rPr>
      </w:pPr>
      <w:r w:rsidRPr="00990078">
        <w:rPr>
          <w:rFonts w:ascii="Garamond" w:hAnsi="Garamond" w:cs="Times New Roman"/>
        </w:rPr>
        <w:tab/>
      </w:r>
      <w:r w:rsidR="003D515F" w:rsidRPr="00990078">
        <w:rPr>
          <w:rFonts w:ascii="Garamond" w:hAnsi="Garamond" w:cs="Times New Roman"/>
        </w:rPr>
        <w:t>Importantly, this proposal demonstrates that sustainable quality improvement in healthcare requires more than selection of an evidence-based intervention alone. Meaningful change depends on the degree to which an intervention fits the organizational context, aligns with staff workflow, and is supported by leadership, monitoring, and ongoing refinement. The inclusion of contextual assessment, implementation planning, logic modeling, monitoring and evaluation processes, and the Stages of Implementation Completion framework strengthens the practical value of the project and positions it for organizational use beyond initial rollout.</w:t>
      </w:r>
    </w:p>
    <w:p w14:paraId="27F8A0A2" w14:textId="3607D2E8" w:rsidR="003D515F" w:rsidRPr="00990078" w:rsidRDefault="00DF487E" w:rsidP="00DF487E">
      <w:pPr>
        <w:spacing w:after="0" w:line="480" w:lineRule="auto"/>
        <w:rPr>
          <w:rFonts w:ascii="Garamond" w:hAnsi="Garamond" w:cs="Times New Roman"/>
        </w:rPr>
      </w:pPr>
      <w:r w:rsidRPr="00990078">
        <w:rPr>
          <w:rFonts w:ascii="Garamond" w:hAnsi="Garamond" w:cs="Times New Roman"/>
        </w:rPr>
        <w:lastRenderedPageBreak/>
        <w:tab/>
      </w:r>
      <w:r w:rsidR="003D515F" w:rsidRPr="00990078">
        <w:rPr>
          <w:rFonts w:ascii="Garamond" w:hAnsi="Garamond" w:cs="Times New Roman"/>
        </w:rPr>
        <w:t>Overall, this project offers a feasible, scalable, and implementation-informed model for reducing documentation-related claim denials in Medicaid-funded behavioral health services. Although local workflow demands, reimbursement policies, and organizational readiness will influence outcomes, the proposed approach provides a strong foundation for improving documentation reliability, strengthening reimbursement processes, and supporting more sustainable healthcare operations. More broadly, this work underscores the importance of bridging quality improvement and implementation science in order to produce operational changes that are not only evidence-based, but also adoptable, measurable, and durable in real-world practice.</w:t>
      </w:r>
    </w:p>
    <w:p w14:paraId="14131F26" w14:textId="77777777" w:rsidR="00F00586" w:rsidRPr="00990078" w:rsidRDefault="00F00586" w:rsidP="00F00586">
      <w:pPr>
        <w:spacing w:line="480" w:lineRule="auto"/>
        <w:rPr>
          <w:rFonts w:ascii="Garamond" w:hAnsi="Garamond" w:cs="Times New Roman"/>
          <w:b/>
          <w:bCs/>
        </w:rPr>
      </w:pPr>
    </w:p>
    <w:p w14:paraId="59438627" w14:textId="6E1B3C86" w:rsidR="00F00586" w:rsidRPr="00990078" w:rsidRDefault="00982BD6" w:rsidP="00F04DDE">
      <w:pPr>
        <w:rPr>
          <w:rFonts w:ascii="Garamond" w:hAnsi="Garamond" w:cs="Times New Roman"/>
          <w:lang w:val="en"/>
        </w:rPr>
      </w:pPr>
      <w:r w:rsidRPr="00990078">
        <w:rPr>
          <w:rFonts w:ascii="Garamond" w:hAnsi="Garamond" w:cs="Times New Roman"/>
          <w:lang w:val="en"/>
        </w:rPr>
        <w:br w:type="page"/>
      </w:r>
    </w:p>
    <w:p w14:paraId="2F865E6D" w14:textId="77777777" w:rsidR="00F00586" w:rsidRPr="00990078" w:rsidRDefault="00F00586" w:rsidP="00F04DDE">
      <w:pPr>
        <w:pStyle w:val="Heading1"/>
        <w:jc w:val="center"/>
        <w:rPr>
          <w:rFonts w:ascii="Garamond" w:hAnsi="Garamond" w:cs="Times New Roman"/>
          <w:b/>
          <w:bCs/>
          <w:color w:val="auto"/>
          <w:sz w:val="24"/>
          <w:szCs w:val="24"/>
        </w:rPr>
      </w:pPr>
      <w:bookmarkStart w:id="24" w:name="_Toc228175331"/>
      <w:r w:rsidRPr="00990078">
        <w:rPr>
          <w:rFonts w:ascii="Garamond" w:hAnsi="Garamond" w:cs="Times New Roman"/>
          <w:b/>
          <w:bCs/>
          <w:color w:val="auto"/>
          <w:sz w:val="24"/>
          <w:szCs w:val="24"/>
        </w:rPr>
        <w:lastRenderedPageBreak/>
        <w:t>References</w:t>
      </w:r>
      <w:bookmarkEnd w:id="24"/>
    </w:p>
    <w:p w14:paraId="0EF59E91" w14:textId="77777777" w:rsidR="00982BD6" w:rsidRPr="00990078" w:rsidRDefault="00982BD6" w:rsidP="00982BD6">
      <w:pPr>
        <w:spacing w:after="0" w:line="480" w:lineRule="auto"/>
        <w:ind w:left="720" w:hanging="720"/>
        <w:rPr>
          <w:rFonts w:ascii="Garamond" w:hAnsi="Garamond" w:cs="Times New Roman"/>
        </w:rPr>
      </w:pPr>
      <w:proofErr w:type="spellStart"/>
      <w:r w:rsidRPr="00990078">
        <w:rPr>
          <w:rFonts w:ascii="Garamond" w:hAnsi="Garamond" w:cs="Times New Roman"/>
        </w:rPr>
        <w:t>Albizri</w:t>
      </w:r>
      <w:proofErr w:type="spellEnd"/>
      <w:r w:rsidRPr="00990078">
        <w:rPr>
          <w:rFonts w:ascii="Garamond" w:hAnsi="Garamond" w:cs="Times New Roman"/>
        </w:rPr>
        <w:t xml:space="preserve">, A., Johnson, M., &amp; </w:t>
      </w:r>
      <w:proofErr w:type="spellStart"/>
      <w:r w:rsidRPr="00990078">
        <w:rPr>
          <w:rFonts w:ascii="Garamond" w:hAnsi="Garamond" w:cs="Times New Roman"/>
        </w:rPr>
        <w:t>Harfouche</w:t>
      </w:r>
      <w:proofErr w:type="spellEnd"/>
      <w:r w:rsidRPr="00990078">
        <w:rPr>
          <w:rFonts w:ascii="Garamond" w:hAnsi="Garamond" w:cs="Times New Roman"/>
        </w:rPr>
        <w:t xml:space="preserve">, A. (2023). Responsible artificial intelligence in healthcare: Predicting and preventing insurance claim denials for economic and social wellbeing. </w:t>
      </w:r>
      <w:r w:rsidRPr="00990078">
        <w:rPr>
          <w:rFonts w:ascii="Garamond" w:hAnsi="Garamond" w:cs="Times New Roman"/>
          <w:i/>
          <w:iCs/>
        </w:rPr>
        <w:t>Information Systems Frontiers, 25</w:t>
      </w:r>
      <w:r w:rsidRPr="00990078">
        <w:rPr>
          <w:rFonts w:ascii="Garamond" w:hAnsi="Garamond" w:cs="Times New Roman"/>
        </w:rPr>
        <w:t xml:space="preserve">(6), 2179–2195. </w:t>
      </w:r>
      <w:hyperlink r:id="rId8" w:tgtFrame="_new" w:history="1">
        <w:r w:rsidRPr="00990078">
          <w:rPr>
            <w:rStyle w:val="Hyperlink"/>
            <w:rFonts w:ascii="Garamond" w:hAnsi="Garamond" w:cs="Times New Roman"/>
          </w:rPr>
          <w:t>https://doi.org/10.1007/s10796-021-10137-5</w:t>
        </w:r>
      </w:hyperlink>
    </w:p>
    <w:p w14:paraId="7FD0E7DB" w14:textId="77777777" w:rsidR="00982BD6" w:rsidRPr="00990078" w:rsidRDefault="00982BD6" w:rsidP="00982BD6">
      <w:pPr>
        <w:spacing w:after="0" w:line="480" w:lineRule="auto"/>
        <w:ind w:left="720" w:hanging="720"/>
        <w:rPr>
          <w:rFonts w:ascii="Garamond" w:hAnsi="Garamond" w:cs="Times New Roman"/>
        </w:rPr>
      </w:pPr>
      <w:proofErr w:type="spellStart"/>
      <w:r w:rsidRPr="00990078">
        <w:rPr>
          <w:rFonts w:ascii="Garamond" w:hAnsi="Garamond" w:cs="Times New Roman"/>
        </w:rPr>
        <w:t>Beidas</w:t>
      </w:r>
      <w:proofErr w:type="spellEnd"/>
      <w:r w:rsidRPr="00990078">
        <w:rPr>
          <w:rFonts w:ascii="Garamond" w:hAnsi="Garamond" w:cs="Times New Roman"/>
        </w:rPr>
        <w:t xml:space="preserve">, R. S., Stewart, R. E., Adams, D. R., Fernandez, T., Lustbader, S., Powell, B. J., Aarons, G. A., Hoagwood, K. E., Evans, A. C., Hurford, M. O., Rubin, R., Hadley, T., Mandell, D. S., &amp; Barg, F. K. (2016). A multi-level examination of stakeholder perspectives of implementation of evidence-based practices in a large urban publicly funded mental health system. </w:t>
      </w:r>
      <w:r w:rsidRPr="00990078">
        <w:rPr>
          <w:rFonts w:ascii="Garamond" w:hAnsi="Garamond" w:cs="Times New Roman"/>
          <w:i/>
          <w:iCs/>
        </w:rPr>
        <w:t>Administration and Policy in Mental Health and Mental Health Services Research, 43</w:t>
      </w:r>
      <w:r w:rsidRPr="00990078">
        <w:rPr>
          <w:rFonts w:ascii="Garamond" w:hAnsi="Garamond" w:cs="Times New Roman"/>
        </w:rPr>
        <w:t xml:space="preserve">(6), 893–908. </w:t>
      </w:r>
      <w:hyperlink r:id="rId9" w:tgtFrame="_new" w:history="1">
        <w:r w:rsidRPr="00990078">
          <w:rPr>
            <w:rStyle w:val="Hyperlink"/>
            <w:rFonts w:ascii="Garamond" w:hAnsi="Garamond" w:cs="Times New Roman"/>
          </w:rPr>
          <w:t>https://doi.org/10.1007/s10488-015-0705-2</w:t>
        </w:r>
      </w:hyperlink>
    </w:p>
    <w:p w14:paraId="0C5BABD5"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Bunting, J., &amp; de Klerk, M. (2022). Strategies to improve compliance with clinical nursing documentation guidelines in the acute hospital setting: A systematic review. </w:t>
      </w:r>
      <w:r w:rsidRPr="00990078">
        <w:rPr>
          <w:rFonts w:ascii="Garamond" w:hAnsi="Garamond" w:cs="Times New Roman"/>
          <w:i/>
          <w:iCs/>
        </w:rPr>
        <w:t>SAGE Open Nursing, 8</w:t>
      </w:r>
      <w:r w:rsidRPr="00990078">
        <w:rPr>
          <w:rFonts w:ascii="Garamond" w:hAnsi="Garamond" w:cs="Times New Roman"/>
        </w:rPr>
        <w:t xml:space="preserve">, 1–34. </w:t>
      </w:r>
      <w:hyperlink r:id="rId10" w:tgtFrame="_new" w:history="1">
        <w:r w:rsidRPr="00990078">
          <w:rPr>
            <w:rStyle w:val="Hyperlink"/>
            <w:rFonts w:ascii="Garamond" w:hAnsi="Garamond" w:cs="Times New Roman"/>
          </w:rPr>
          <w:t>https://doi.org/10.1177/23779608221075165</w:t>
        </w:r>
      </w:hyperlink>
    </w:p>
    <w:p w14:paraId="33DBB3D1"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Cavalcanti, A. B., Bozza, F. A., Machado, F. R., </w:t>
      </w:r>
      <w:proofErr w:type="spellStart"/>
      <w:r w:rsidRPr="00990078">
        <w:rPr>
          <w:rFonts w:ascii="Garamond" w:hAnsi="Garamond" w:cs="Times New Roman"/>
        </w:rPr>
        <w:t>Salluh</w:t>
      </w:r>
      <w:proofErr w:type="spellEnd"/>
      <w:r w:rsidRPr="00990078">
        <w:rPr>
          <w:rFonts w:ascii="Garamond" w:hAnsi="Garamond" w:cs="Times New Roman"/>
        </w:rPr>
        <w:t xml:space="preserve">, J. I., </w:t>
      </w:r>
      <w:proofErr w:type="spellStart"/>
      <w:r w:rsidRPr="00990078">
        <w:rPr>
          <w:rFonts w:ascii="Garamond" w:hAnsi="Garamond" w:cs="Times New Roman"/>
        </w:rPr>
        <w:t>Campagnucci</w:t>
      </w:r>
      <w:proofErr w:type="spellEnd"/>
      <w:r w:rsidRPr="00990078">
        <w:rPr>
          <w:rFonts w:ascii="Garamond" w:hAnsi="Garamond" w:cs="Times New Roman"/>
        </w:rPr>
        <w:t xml:space="preserve">, V. P., </w:t>
      </w:r>
      <w:proofErr w:type="spellStart"/>
      <w:r w:rsidRPr="00990078">
        <w:rPr>
          <w:rFonts w:ascii="Garamond" w:hAnsi="Garamond" w:cs="Times New Roman"/>
        </w:rPr>
        <w:t>Vendrame</w:t>
      </w:r>
      <w:proofErr w:type="spellEnd"/>
      <w:r w:rsidRPr="00990078">
        <w:rPr>
          <w:rFonts w:ascii="Garamond" w:hAnsi="Garamond" w:cs="Times New Roman"/>
        </w:rPr>
        <w:t xml:space="preserve">, L. S., ... Berwanger, O. (2016). Effect of a quality improvement intervention with daily round checklists, goal setting, and clinician prompting on mortality of critically ill patients: A randomized clinical trial. </w:t>
      </w:r>
      <w:r w:rsidRPr="00990078">
        <w:rPr>
          <w:rFonts w:ascii="Garamond" w:hAnsi="Garamond" w:cs="Times New Roman"/>
          <w:i/>
          <w:iCs/>
        </w:rPr>
        <w:t>JAMA, 315</w:t>
      </w:r>
      <w:r w:rsidRPr="00990078">
        <w:rPr>
          <w:rFonts w:ascii="Garamond" w:hAnsi="Garamond" w:cs="Times New Roman"/>
        </w:rPr>
        <w:t xml:space="preserve">(14), 1480–1490. </w:t>
      </w:r>
      <w:hyperlink r:id="rId11" w:tgtFrame="_new" w:history="1">
        <w:r w:rsidRPr="00990078">
          <w:rPr>
            <w:rStyle w:val="Hyperlink"/>
            <w:rFonts w:ascii="Garamond" w:hAnsi="Garamond" w:cs="Times New Roman"/>
          </w:rPr>
          <w:t>https://doi.org/10.1001/jama.2016.3463</w:t>
        </w:r>
      </w:hyperlink>
    </w:p>
    <w:p w14:paraId="0E8E1D90"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Centers for Medicare &amp; Medicaid Services. (2015, December 1). </w:t>
      </w:r>
      <w:r w:rsidRPr="00990078">
        <w:rPr>
          <w:rFonts w:ascii="Garamond" w:hAnsi="Garamond" w:cs="Times New Roman"/>
          <w:i/>
          <w:iCs/>
        </w:rPr>
        <w:t>Documentation matters fact sheet for behavioral health practitioners</w:t>
      </w:r>
      <w:r w:rsidRPr="00990078">
        <w:rPr>
          <w:rFonts w:ascii="Garamond" w:hAnsi="Garamond" w:cs="Times New Roman"/>
        </w:rPr>
        <w:t xml:space="preserve">. U.S. Department of Health and Human Services. </w:t>
      </w:r>
      <w:hyperlink r:id="rId12" w:tgtFrame="_new" w:history="1">
        <w:r w:rsidRPr="00990078">
          <w:rPr>
            <w:rStyle w:val="Hyperlink"/>
            <w:rFonts w:ascii="Garamond" w:hAnsi="Garamond" w:cs="Times New Roman"/>
          </w:rPr>
          <w:t>https://www.cms.gov/medicare-medicaid-coordination/fraud-prevention/medicaid-integrity-program/education/resource-library/documentation-matters-fact-sheet-behavioral-health-practitioners</w:t>
        </w:r>
      </w:hyperlink>
    </w:p>
    <w:p w14:paraId="7D10DF79"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lastRenderedPageBreak/>
        <w:t xml:space="preserve">Centers for Medicare &amp; Medicaid Services. (2021, November 15). </w:t>
      </w:r>
      <w:r w:rsidRPr="00990078">
        <w:rPr>
          <w:rFonts w:ascii="Garamond" w:hAnsi="Garamond" w:cs="Times New Roman"/>
          <w:i/>
          <w:iCs/>
        </w:rPr>
        <w:t>Improper payments fact sheet</w:t>
      </w:r>
      <w:r w:rsidRPr="00990078">
        <w:rPr>
          <w:rFonts w:ascii="Garamond" w:hAnsi="Garamond" w:cs="Times New Roman"/>
        </w:rPr>
        <w:t xml:space="preserve">. U.S. Department of Health and Human Services. </w:t>
      </w:r>
      <w:hyperlink r:id="rId13" w:tgtFrame="_new" w:history="1">
        <w:r w:rsidRPr="00990078">
          <w:rPr>
            <w:rStyle w:val="Hyperlink"/>
            <w:rFonts w:ascii="Garamond" w:hAnsi="Garamond" w:cs="Times New Roman"/>
          </w:rPr>
          <w:t>https://www.cms.gov/newsroom/fact-sheets/improper-payments-fact-sheet</w:t>
        </w:r>
      </w:hyperlink>
    </w:p>
    <w:p w14:paraId="0B5A0DB6"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Damschroder, L. J., Reardon, C. M., </w:t>
      </w:r>
      <w:proofErr w:type="spellStart"/>
      <w:r w:rsidRPr="00990078">
        <w:rPr>
          <w:rFonts w:ascii="Garamond" w:hAnsi="Garamond" w:cs="Times New Roman"/>
        </w:rPr>
        <w:t>Widerquist</w:t>
      </w:r>
      <w:proofErr w:type="spellEnd"/>
      <w:r w:rsidRPr="00990078">
        <w:rPr>
          <w:rFonts w:ascii="Garamond" w:hAnsi="Garamond" w:cs="Times New Roman"/>
        </w:rPr>
        <w:t xml:space="preserve">, M. A. O., &amp; Lowery, J. (2022). The updated Consolidated Framework for Implementation Research (CFIR 2.0): Overview and tools for advancing implementation science. </w:t>
      </w:r>
      <w:r w:rsidRPr="00990078">
        <w:rPr>
          <w:rFonts w:ascii="Garamond" w:hAnsi="Garamond" w:cs="Times New Roman"/>
          <w:i/>
          <w:iCs/>
        </w:rPr>
        <w:t>Implementation Science, 17</w:t>
      </w:r>
      <w:r w:rsidRPr="00990078">
        <w:rPr>
          <w:rFonts w:ascii="Garamond" w:hAnsi="Garamond" w:cs="Times New Roman"/>
        </w:rPr>
        <w:t xml:space="preserve">(1), Article 75. </w:t>
      </w:r>
      <w:hyperlink r:id="rId14" w:tgtFrame="_new" w:history="1">
        <w:r w:rsidRPr="00990078">
          <w:rPr>
            <w:rStyle w:val="Hyperlink"/>
            <w:rFonts w:ascii="Garamond" w:hAnsi="Garamond" w:cs="Times New Roman"/>
          </w:rPr>
          <w:t>https://doi.org/10.1186/s13012-022-01245-0</w:t>
        </w:r>
      </w:hyperlink>
    </w:p>
    <w:p w14:paraId="18CCB033"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Etheridge, J. C., Moyal-Smith, R., Yong, T. T., Lim, S. R., </w:t>
      </w:r>
      <w:proofErr w:type="spellStart"/>
      <w:r w:rsidRPr="00990078">
        <w:rPr>
          <w:rFonts w:ascii="Garamond" w:hAnsi="Garamond" w:cs="Times New Roman"/>
        </w:rPr>
        <w:t>Sonnay</w:t>
      </w:r>
      <w:proofErr w:type="spellEnd"/>
      <w:r w:rsidRPr="00990078">
        <w:rPr>
          <w:rFonts w:ascii="Garamond" w:hAnsi="Garamond" w:cs="Times New Roman"/>
        </w:rPr>
        <w:t xml:space="preserve">, Y., Lim, C., Tan, H. K., Brindle, M. E., &amp; Havens, J. M. (2024). Transforming team performance through reimplementation of the surgical safety checklist. </w:t>
      </w:r>
      <w:r w:rsidRPr="00990078">
        <w:rPr>
          <w:rFonts w:ascii="Garamond" w:hAnsi="Garamond" w:cs="Times New Roman"/>
          <w:i/>
          <w:iCs/>
        </w:rPr>
        <w:t>JAMA Surgery, 159</w:t>
      </w:r>
      <w:r w:rsidRPr="00990078">
        <w:rPr>
          <w:rFonts w:ascii="Garamond" w:hAnsi="Garamond" w:cs="Times New Roman"/>
        </w:rPr>
        <w:t xml:space="preserve">(1), 78–86. </w:t>
      </w:r>
      <w:hyperlink r:id="rId15" w:tgtFrame="_new" w:history="1">
        <w:r w:rsidRPr="00990078">
          <w:rPr>
            <w:rStyle w:val="Hyperlink"/>
            <w:rFonts w:ascii="Garamond" w:hAnsi="Garamond" w:cs="Times New Roman"/>
          </w:rPr>
          <w:t>https://doi.org/10.1001/jamasurg.2023.5400</w:t>
        </w:r>
      </w:hyperlink>
    </w:p>
    <w:p w14:paraId="7F904707"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Gawande, A. (2010). </w:t>
      </w:r>
      <w:r w:rsidRPr="00990078">
        <w:rPr>
          <w:rFonts w:ascii="Garamond" w:hAnsi="Garamond" w:cs="Times New Roman"/>
          <w:i/>
          <w:iCs/>
        </w:rPr>
        <w:t>The checklist manifesto: How to get things right</w:t>
      </w:r>
      <w:r w:rsidRPr="00990078">
        <w:rPr>
          <w:rFonts w:ascii="Garamond" w:hAnsi="Garamond" w:cs="Times New Roman"/>
        </w:rPr>
        <w:t>. Metropolitan Books.</w:t>
      </w:r>
    </w:p>
    <w:p w14:paraId="5D01C1B7"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Habtie, T. E., </w:t>
      </w:r>
      <w:proofErr w:type="spellStart"/>
      <w:r w:rsidRPr="00990078">
        <w:rPr>
          <w:rFonts w:ascii="Garamond" w:hAnsi="Garamond" w:cs="Times New Roman"/>
        </w:rPr>
        <w:t>Fenta</w:t>
      </w:r>
      <w:proofErr w:type="spellEnd"/>
      <w:r w:rsidRPr="00990078">
        <w:rPr>
          <w:rFonts w:ascii="Garamond" w:hAnsi="Garamond" w:cs="Times New Roman"/>
        </w:rPr>
        <w:t xml:space="preserve">, A. A., &amp; Gashaw, A. (2025). Beyond compliance: Examining the completeness and adherence to the WHO surgical safety checklist. </w:t>
      </w:r>
      <w:r w:rsidRPr="00990078">
        <w:rPr>
          <w:rFonts w:ascii="Garamond" w:hAnsi="Garamond" w:cs="Times New Roman"/>
          <w:i/>
          <w:iCs/>
        </w:rPr>
        <w:t>BMC Health Services Research, 25</w:t>
      </w:r>
      <w:r w:rsidRPr="00990078">
        <w:rPr>
          <w:rFonts w:ascii="Garamond" w:hAnsi="Garamond" w:cs="Times New Roman"/>
        </w:rPr>
        <w:t xml:space="preserve">, Article 12569. </w:t>
      </w:r>
      <w:hyperlink r:id="rId16" w:tgtFrame="_new" w:history="1">
        <w:r w:rsidRPr="00990078">
          <w:rPr>
            <w:rStyle w:val="Hyperlink"/>
            <w:rFonts w:ascii="Garamond" w:hAnsi="Garamond" w:cs="Times New Roman"/>
          </w:rPr>
          <w:t>https://doi.org/10.1186/s12913-025-12569-0</w:t>
        </w:r>
      </w:hyperlink>
    </w:p>
    <w:p w14:paraId="27717228"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Haynes, A. B., Weiser, T. G., Berry, W. R., Lipsitz, S. R., </w:t>
      </w:r>
      <w:proofErr w:type="spellStart"/>
      <w:r w:rsidRPr="00990078">
        <w:rPr>
          <w:rFonts w:ascii="Garamond" w:hAnsi="Garamond" w:cs="Times New Roman"/>
        </w:rPr>
        <w:t>Breizat</w:t>
      </w:r>
      <w:proofErr w:type="spellEnd"/>
      <w:r w:rsidRPr="00990078">
        <w:rPr>
          <w:rFonts w:ascii="Garamond" w:hAnsi="Garamond" w:cs="Times New Roman"/>
        </w:rPr>
        <w:t xml:space="preserve">, A. H., Dellinger, E. P., ... Gawande, A. A. (2009). A surgical safety checklist to reduce morbidity and mortality in a global population. </w:t>
      </w:r>
      <w:r w:rsidRPr="00990078">
        <w:rPr>
          <w:rFonts w:ascii="Garamond" w:hAnsi="Garamond" w:cs="Times New Roman"/>
          <w:i/>
          <w:iCs/>
        </w:rPr>
        <w:t>New England Journal of Medicine, 360</w:t>
      </w:r>
      <w:r w:rsidRPr="00990078">
        <w:rPr>
          <w:rFonts w:ascii="Garamond" w:hAnsi="Garamond" w:cs="Times New Roman"/>
        </w:rPr>
        <w:t xml:space="preserve">(5), 491–499. </w:t>
      </w:r>
      <w:hyperlink r:id="rId17" w:tgtFrame="_new" w:history="1">
        <w:r w:rsidRPr="00990078">
          <w:rPr>
            <w:rStyle w:val="Hyperlink"/>
            <w:rFonts w:ascii="Garamond" w:hAnsi="Garamond" w:cs="Times New Roman"/>
          </w:rPr>
          <w:t>https://doi.org/10.1056/NEJMsa0810119</w:t>
        </w:r>
      </w:hyperlink>
    </w:p>
    <w:p w14:paraId="463538DB"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Hoagland, A., George, D. R., &amp; Chen, L. M. (2024). Preventive care claim denials and disparities among U.S. patients: Evidence from commercial and public payers. </w:t>
      </w:r>
      <w:r w:rsidRPr="00990078">
        <w:rPr>
          <w:rFonts w:ascii="Garamond" w:hAnsi="Garamond" w:cs="Times New Roman"/>
          <w:i/>
          <w:iCs/>
        </w:rPr>
        <w:t>Health Services Research, 59</w:t>
      </w:r>
      <w:r w:rsidRPr="00990078">
        <w:rPr>
          <w:rFonts w:ascii="Garamond" w:hAnsi="Garamond" w:cs="Times New Roman"/>
        </w:rPr>
        <w:t xml:space="preserve">(2), 255–266. </w:t>
      </w:r>
      <w:hyperlink r:id="rId18" w:tgtFrame="_new" w:history="1">
        <w:r w:rsidRPr="00990078">
          <w:rPr>
            <w:rStyle w:val="Hyperlink"/>
            <w:rFonts w:ascii="Garamond" w:hAnsi="Garamond" w:cs="Times New Roman"/>
          </w:rPr>
          <w:t>https://doi.org/10.1111/1475-6773.14123</w:t>
        </w:r>
      </w:hyperlink>
    </w:p>
    <w:p w14:paraId="02D2F89D" w14:textId="77777777" w:rsidR="00982BD6" w:rsidRPr="00990078" w:rsidRDefault="00982BD6" w:rsidP="00982BD6">
      <w:pPr>
        <w:spacing w:after="0" w:line="480" w:lineRule="auto"/>
        <w:ind w:left="720" w:hanging="720"/>
        <w:rPr>
          <w:rFonts w:ascii="Garamond" w:hAnsi="Garamond" w:cs="Times New Roman"/>
          <w:lang w:val="es-ES"/>
        </w:rPr>
      </w:pPr>
      <w:r w:rsidRPr="00990078">
        <w:rPr>
          <w:rFonts w:ascii="Garamond" w:hAnsi="Garamond" w:cs="Times New Roman"/>
        </w:rPr>
        <w:t xml:space="preserve">Institute for Healthcare Improvement. (n.d.). </w:t>
      </w:r>
      <w:r w:rsidRPr="00990078">
        <w:rPr>
          <w:rFonts w:ascii="Garamond" w:hAnsi="Garamond" w:cs="Times New Roman"/>
          <w:i/>
          <w:iCs/>
        </w:rPr>
        <w:t>Plan–Do–Study–Act (PDSA) cycle</w:t>
      </w:r>
      <w:r w:rsidRPr="00990078">
        <w:rPr>
          <w:rFonts w:ascii="Garamond" w:hAnsi="Garamond" w:cs="Times New Roman"/>
        </w:rPr>
        <w:t xml:space="preserve">. </w:t>
      </w:r>
      <w:hyperlink r:id="rId19" w:tgtFrame="_new" w:history="1">
        <w:r w:rsidRPr="00990078">
          <w:rPr>
            <w:rStyle w:val="Hyperlink"/>
            <w:rFonts w:ascii="Garamond" w:hAnsi="Garamond" w:cs="Times New Roman"/>
            <w:lang w:val="es-ES"/>
          </w:rPr>
          <w:t>https://www.ihi.org/resources/Pages/Tools/PlanDoStudyActWorksheet.aspx</w:t>
        </w:r>
      </w:hyperlink>
    </w:p>
    <w:p w14:paraId="72984459"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lang w:val="es-ES"/>
        </w:rPr>
        <w:lastRenderedPageBreak/>
        <w:t>Khalili, R. A., &amp; El-</w:t>
      </w:r>
      <w:proofErr w:type="spellStart"/>
      <w:r w:rsidRPr="00990078">
        <w:rPr>
          <w:rFonts w:ascii="Garamond" w:hAnsi="Garamond" w:cs="Times New Roman"/>
          <w:lang w:val="es-ES"/>
        </w:rPr>
        <w:t>Dakhakhni</w:t>
      </w:r>
      <w:proofErr w:type="spellEnd"/>
      <w:r w:rsidRPr="00990078">
        <w:rPr>
          <w:rFonts w:ascii="Garamond" w:hAnsi="Garamond" w:cs="Times New Roman"/>
          <w:lang w:val="es-ES"/>
        </w:rPr>
        <w:t xml:space="preserve">, W. (2023). </w:t>
      </w:r>
      <w:r w:rsidRPr="00990078">
        <w:rPr>
          <w:rFonts w:ascii="Garamond" w:hAnsi="Garamond" w:cs="Times New Roman"/>
        </w:rPr>
        <w:t xml:space="preserve">Applying Lean Six Sigma to healthcare documentation: A process-improvement approach. </w:t>
      </w:r>
      <w:r w:rsidRPr="00990078">
        <w:rPr>
          <w:rFonts w:ascii="Garamond" w:hAnsi="Garamond" w:cs="Times New Roman"/>
          <w:i/>
          <w:iCs/>
        </w:rPr>
        <w:t>International Journal for Quality in Health Care, 35</w:t>
      </w:r>
      <w:r w:rsidRPr="00990078">
        <w:rPr>
          <w:rFonts w:ascii="Garamond" w:hAnsi="Garamond" w:cs="Times New Roman"/>
        </w:rPr>
        <w:t xml:space="preserve">(2), 177–186. </w:t>
      </w:r>
      <w:hyperlink r:id="rId20" w:tgtFrame="_new" w:history="1">
        <w:r w:rsidRPr="00990078">
          <w:rPr>
            <w:rStyle w:val="Hyperlink"/>
            <w:rFonts w:ascii="Garamond" w:hAnsi="Garamond" w:cs="Times New Roman"/>
          </w:rPr>
          <w:t>https://doi.org/10.1093/intqhc/mzaf062</w:t>
        </w:r>
      </w:hyperlink>
    </w:p>
    <w:p w14:paraId="5682F5B5"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Kornack, J., </w:t>
      </w:r>
      <w:proofErr w:type="spellStart"/>
      <w:r w:rsidRPr="00990078">
        <w:rPr>
          <w:rFonts w:ascii="Garamond" w:hAnsi="Garamond" w:cs="Times New Roman"/>
        </w:rPr>
        <w:t>Unumb</w:t>
      </w:r>
      <w:proofErr w:type="spellEnd"/>
      <w:r w:rsidRPr="00990078">
        <w:rPr>
          <w:rFonts w:ascii="Garamond" w:hAnsi="Garamond" w:cs="Times New Roman"/>
        </w:rPr>
        <w:t xml:space="preserve">, D. R., &amp; Williams, A. L. (2023). Preventing insurance denials of applied behavior analysis treatment based on misuse of Medically Unlikely Edits (MUEs). </w:t>
      </w:r>
      <w:r w:rsidRPr="00990078">
        <w:rPr>
          <w:rFonts w:ascii="Garamond" w:hAnsi="Garamond" w:cs="Times New Roman"/>
          <w:i/>
          <w:iCs/>
        </w:rPr>
        <w:t>Behavior Analysis in Practice</w:t>
      </w:r>
      <w:r w:rsidRPr="00990078">
        <w:rPr>
          <w:rFonts w:ascii="Garamond" w:hAnsi="Garamond" w:cs="Times New Roman"/>
        </w:rPr>
        <w:t xml:space="preserve">. </w:t>
      </w:r>
      <w:hyperlink r:id="rId21" w:tgtFrame="_new" w:history="1">
        <w:r w:rsidRPr="00990078">
          <w:rPr>
            <w:rStyle w:val="Hyperlink"/>
            <w:rFonts w:ascii="Garamond" w:hAnsi="Garamond" w:cs="Times New Roman"/>
          </w:rPr>
          <w:t>https://doi.org/10.1007/s40617-023-00877-y</w:t>
        </w:r>
      </w:hyperlink>
    </w:p>
    <w:p w14:paraId="7918F665"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Kramer, H. S., Rosen, M. A., Kahn, J. M., &amp; Admon, A. J. (2017). A systematic review of electronic checklist </w:t>
      </w:r>
      <w:proofErr w:type="gramStart"/>
      <w:r w:rsidRPr="00990078">
        <w:rPr>
          <w:rFonts w:ascii="Garamond" w:hAnsi="Garamond" w:cs="Times New Roman"/>
        </w:rPr>
        <w:t>use</w:t>
      </w:r>
      <w:proofErr w:type="gramEnd"/>
      <w:r w:rsidRPr="00990078">
        <w:rPr>
          <w:rFonts w:ascii="Garamond" w:hAnsi="Garamond" w:cs="Times New Roman"/>
        </w:rPr>
        <w:t xml:space="preserve"> in healthcare. </w:t>
      </w:r>
      <w:r w:rsidRPr="00990078">
        <w:rPr>
          <w:rFonts w:ascii="Garamond" w:hAnsi="Garamond" w:cs="Times New Roman"/>
          <w:i/>
          <w:iCs/>
        </w:rPr>
        <w:t>Journal of the American Medical Informatics Association, 24</w:t>
      </w:r>
      <w:r w:rsidRPr="00990078">
        <w:rPr>
          <w:rFonts w:ascii="Garamond" w:hAnsi="Garamond" w:cs="Times New Roman"/>
        </w:rPr>
        <w:t xml:space="preserve">(6), 1140–1146. </w:t>
      </w:r>
      <w:hyperlink r:id="rId22" w:tgtFrame="_new" w:history="1">
        <w:r w:rsidRPr="00990078">
          <w:rPr>
            <w:rStyle w:val="Hyperlink"/>
            <w:rFonts w:ascii="Garamond" w:hAnsi="Garamond" w:cs="Times New Roman"/>
          </w:rPr>
          <w:t>https://doi.org/10.1093/jamia/ocx043</w:t>
        </w:r>
      </w:hyperlink>
    </w:p>
    <w:p w14:paraId="4DB17222"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Kwong, E., Cole, A., Byrd, E., Sippo, D., Yu, F., Adapa, K., Shea, C. M., Moore, C., Das, S., &amp; Mazur, L. (2025). Design approaches for developing quality checklists in healthcare organizations: A scoping review. </w:t>
      </w:r>
      <w:r w:rsidRPr="00990078">
        <w:rPr>
          <w:rFonts w:ascii="Garamond" w:hAnsi="Garamond" w:cs="Times New Roman"/>
          <w:i/>
          <w:iCs/>
        </w:rPr>
        <w:t>PLOS Digital Health, 4</w:t>
      </w:r>
      <w:r w:rsidRPr="00990078">
        <w:rPr>
          <w:rFonts w:ascii="Garamond" w:hAnsi="Garamond" w:cs="Times New Roman"/>
        </w:rPr>
        <w:t xml:space="preserve">(9), e0001015. </w:t>
      </w:r>
      <w:hyperlink r:id="rId23" w:tgtFrame="_new" w:history="1">
        <w:r w:rsidRPr="00990078">
          <w:rPr>
            <w:rStyle w:val="Hyperlink"/>
            <w:rFonts w:ascii="Garamond" w:hAnsi="Garamond" w:cs="Times New Roman"/>
          </w:rPr>
          <w:t>https://doi.org/10.1371/journal.pdig.0001015</w:t>
        </w:r>
      </w:hyperlink>
    </w:p>
    <w:p w14:paraId="2B745C7E"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Levine, S., </w:t>
      </w:r>
      <w:proofErr w:type="spellStart"/>
      <w:r w:rsidRPr="00990078">
        <w:rPr>
          <w:rFonts w:ascii="Garamond" w:hAnsi="Garamond" w:cs="Times New Roman"/>
        </w:rPr>
        <w:t>Meisenberg</w:t>
      </w:r>
      <w:proofErr w:type="spellEnd"/>
      <w:r w:rsidRPr="00990078">
        <w:rPr>
          <w:rFonts w:ascii="Garamond" w:hAnsi="Garamond" w:cs="Times New Roman"/>
        </w:rPr>
        <w:t xml:space="preserve">, B., &amp; Stewart, R. (2022). A structured checklist approach to reducing insurance claim denials in hospital billing systems. </w:t>
      </w:r>
      <w:r w:rsidRPr="00990078">
        <w:rPr>
          <w:rFonts w:ascii="Garamond" w:hAnsi="Garamond" w:cs="Times New Roman"/>
          <w:i/>
          <w:iCs/>
        </w:rPr>
        <w:t>Journal of Healthcare Management, 67</w:t>
      </w:r>
      <w:r w:rsidRPr="00990078">
        <w:rPr>
          <w:rFonts w:ascii="Garamond" w:hAnsi="Garamond" w:cs="Times New Roman"/>
        </w:rPr>
        <w:t xml:space="preserve">(4), 272–283. </w:t>
      </w:r>
      <w:hyperlink r:id="rId24" w:tgtFrame="_new" w:history="1">
        <w:r w:rsidRPr="00990078">
          <w:rPr>
            <w:rStyle w:val="Hyperlink"/>
            <w:rFonts w:ascii="Garamond" w:hAnsi="Garamond" w:cs="Times New Roman"/>
          </w:rPr>
          <w:t>https://doi.org/10.1097/JHM-D-21-00045</w:t>
        </w:r>
      </w:hyperlink>
    </w:p>
    <w:p w14:paraId="2A0D14F5"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Muralidharan, B., Basu, S., Tingen, J., &amp; Patel, S. Y. (2025). Procedural prescription denials and risk of acute care utilization and spending among Medicaid patients. </w:t>
      </w:r>
      <w:r w:rsidRPr="00990078">
        <w:rPr>
          <w:rFonts w:ascii="Garamond" w:hAnsi="Garamond" w:cs="Times New Roman"/>
          <w:i/>
          <w:iCs/>
        </w:rPr>
        <w:t>JAMA Network Open, 8</w:t>
      </w:r>
      <w:r w:rsidRPr="00990078">
        <w:rPr>
          <w:rFonts w:ascii="Garamond" w:hAnsi="Garamond" w:cs="Times New Roman"/>
        </w:rPr>
        <w:t xml:space="preserve">(1), e2457300. </w:t>
      </w:r>
      <w:hyperlink r:id="rId25" w:tgtFrame="_new" w:history="1">
        <w:r w:rsidRPr="00990078">
          <w:rPr>
            <w:rStyle w:val="Hyperlink"/>
            <w:rFonts w:ascii="Garamond" w:hAnsi="Garamond" w:cs="Times New Roman"/>
          </w:rPr>
          <w:t>https://doi.org/10.1001/jamanetworkopen.2024.57300</w:t>
        </w:r>
      </w:hyperlink>
    </w:p>
    <w:p w14:paraId="52E9C3E9"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O’Malley, A. S., O’Leary, J. F., Cunningham, P. J., &amp; May, J. H. (2019). Documentation and coding challenges in ambulatory care: A physician perspective. </w:t>
      </w:r>
      <w:r w:rsidRPr="00990078">
        <w:rPr>
          <w:rFonts w:ascii="Garamond" w:hAnsi="Garamond" w:cs="Times New Roman"/>
          <w:i/>
          <w:iCs/>
        </w:rPr>
        <w:t>Journal of General Internal Medicine, 34</w:t>
      </w:r>
      <w:r w:rsidRPr="00990078">
        <w:rPr>
          <w:rFonts w:ascii="Garamond" w:hAnsi="Garamond" w:cs="Times New Roman"/>
        </w:rPr>
        <w:t xml:space="preserve">(12), 2826–2832. </w:t>
      </w:r>
      <w:hyperlink r:id="rId26" w:tgtFrame="_new" w:history="1">
        <w:r w:rsidRPr="00990078">
          <w:rPr>
            <w:rStyle w:val="Hyperlink"/>
            <w:rFonts w:ascii="Garamond" w:hAnsi="Garamond" w:cs="Times New Roman"/>
          </w:rPr>
          <w:t>https://doi.org/10.1007/s11606-019-05271-4</w:t>
        </w:r>
      </w:hyperlink>
    </w:p>
    <w:p w14:paraId="6D0D915E"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Semel, M. E., Resch, S., Haynes, A. B., Funk, L. M., Bader, A., Berry, W. R., ... Gawande, A. A. (2010). Adopting a surgical safety checklist could save money and improve the quality of care </w:t>
      </w:r>
      <w:r w:rsidRPr="00990078">
        <w:rPr>
          <w:rFonts w:ascii="Garamond" w:hAnsi="Garamond" w:cs="Times New Roman"/>
        </w:rPr>
        <w:lastRenderedPageBreak/>
        <w:t xml:space="preserve">in U.S. hospitals. </w:t>
      </w:r>
      <w:r w:rsidRPr="00990078">
        <w:rPr>
          <w:rFonts w:ascii="Garamond" w:hAnsi="Garamond" w:cs="Times New Roman"/>
          <w:i/>
          <w:iCs/>
        </w:rPr>
        <w:t>Health Affairs, 29</w:t>
      </w:r>
      <w:r w:rsidRPr="00990078">
        <w:rPr>
          <w:rFonts w:ascii="Garamond" w:hAnsi="Garamond" w:cs="Times New Roman"/>
        </w:rPr>
        <w:t xml:space="preserve">(9), 1593–1599. </w:t>
      </w:r>
      <w:hyperlink r:id="rId27" w:tgtFrame="_new" w:history="1">
        <w:r w:rsidRPr="00990078">
          <w:rPr>
            <w:rStyle w:val="Hyperlink"/>
            <w:rFonts w:ascii="Garamond" w:hAnsi="Garamond" w:cs="Times New Roman"/>
          </w:rPr>
          <w:t>https://doi.org/10.1377/hlthaff.2009.0709</w:t>
        </w:r>
      </w:hyperlink>
    </w:p>
    <w:p w14:paraId="3C8EA72E"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Treadwell, J. R., Lucas, S., &amp; Tsou, A. Y. (2014). Surgical checklists: A systematic review of impacts and implementation. </w:t>
      </w:r>
      <w:r w:rsidRPr="00990078">
        <w:rPr>
          <w:rFonts w:ascii="Garamond" w:hAnsi="Garamond" w:cs="Times New Roman"/>
          <w:i/>
          <w:iCs/>
        </w:rPr>
        <w:t>BMJ Quality &amp; Safety, 23</w:t>
      </w:r>
      <w:r w:rsidRPr="00990078">
        <w:rPr>
          <w:rFonts w:ascii="Garamond" w:hAnsi="Garamond" w:cs="Times New Roman"/>
        </w:rPr>
        <w:t xml:space="preserve">(4), 299–318. </w:t>
      </w:r>
      <w:hyperlink r:id="rId28" w:tgtFrame="_new" w:history="1">
        <w:r w:rsidRPr="00990078">
          <w:rPr>
            <w:rStyle w:val="Hyperlink"/>
            <w:rFonts w:ascii="Garamond" w:hAnsi="Garamond" w:cs="Times New Roman"/>
          </w:rPr>
          <w:t>https://doi.org/10.1136/bmjqs-2012-001797</w:t>
        </w:r>
      </w:hyperlink>
    </w:p>
    <w:p w14:paraId="47B05612"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University of Colorado Denver. (2025). </w:t>
      </w:r>
      <w:r w:rsidRPr="00990078">
        <w:rPr>
          <w:rFonts w:ascii="Garamond" w:hAnsi="Garamond" w:cs="Times New Roman"/>
          <w:i/>
          <w:iCs/>
        </w:rPr>
        <w:t>Dissemination &amp; implementation models in health: An interactive webtool</w:t>
      </w:r>
      <w:r w:rsidRPr="00990078">
        <w:rPr>
          <w:rFonts w:ascii="Garamond" w:hAnsi="Garamond" w:cs="Times New Roman"/>
        </w:rPr>
        <w:t xml:space="preserve">. </w:t>
      </w:r>
      <w:hyperlink r:id="rId29" w:tgtFrame="_new" w:history="1">
        <w:r w:rsidRPr="00990078">
          <w:rPr>
            <w:rStyle w:val="Hyperlink"/>
            <w:rFonts w:ascii="Garamond" w:hAnsi="Garamond" w:cs="Times New Roman"/>
          </w:rPr>
          <w:t>https://dissemination-implementation.org/models/transcreation-framework-for-community-engaged-behavioral-interventions-to-reduce-health-disparities/</w:t>
        </w:r>
      </w:hyperlink>
    </w:p>
    <w:p w14:paraId="52E2B985" w14:textId="77777777" w:rsidR="00982BD6" w:rsidRPr="00990078" w:rsidRDefault="00982BD6" w:rsidP="00982BD6">
      <w:pPr>
        <w:spacing w:after="0" w:line="480" w:lineRule="auto"/>
        <w:ind w:left="720" w:hanging="720"/>
        <w:rPr>
          <w:rFonts w:ascii="Garamond" w:hAnsi="Garamond" w:cs="Times New Roman"/>
        </w:rPr>
      </w:pPr>
      <w:r w:rsidRPr="00990078">
        <w:rPr>
          <w:rFonts w:ascii="Garamond" w:hAnsi="Garamond" w:cs="Times New Roman"/>
        </w:rPr>
        <w:t xml:space="preserve">Vabson, B., Chien, A. T., Mukhopadhyay, S., &amp; </w:t>
      </w:r>
      <w:proofErr w:type="spellStart"/>
      <w:r w:rsidRPr="00990078">
        <w:rPr>
          <w:rFonts w:ascii="Garamond" w:hAnsi="Garamond" w:cs="Times New Roman"/>
        </w:rPr>
        <w:t>Zuvekas</w:t>
      </w:r>
      <w:proofErr w:type="spellEnd"/>
      <w:r w:rsidRPr="00990078">
        <w:rPr>
          <w:rFonts w:ascii="Garamond" w:hAnsi="Garamond" w:cs="Times New Roman"/>
        </w:rPr>
        <w:t xml:space="preserve">, S. H. (2025). Medicare Advantage denies 17 percent of initial claims. </w:t>
      </w:r>
      <w:r w:rsidRPr="00990078">
        <w:rPr>
          <w:rFonts w:ascii="Garamond" w:hAnsi="Garamond" w:cs="Times New Roman"/>
          <w:i/>
          <w:iCs/>
        </w:rPr>
        <w:t>Health Affairs, 44</w:t>
      </w:r>
      <w:r w:rsidRPr="00990078">
        <w:rPr>
          <w:rFonts w:ascii="Garamond" w:hAnsi="Garamond" w:cs="Times New Roman"/>
        </w:rPr>
        <w:t xml:space="preserve">(2), 125–133. </w:t>
      </w:r>
      <w:hyperlink r:id="rId30" w:tgtFrame="_new" w:history="1">
        <w:r w:rsidRPr="00990078">
          <w:rPr>
            <w:rStyle w:val="Hyperlink"/>
            <w:rFonts w:ascii="Garamond" w:hAnsi="Garamond" w:cs="Times New Roman"/>
          </w:rPr>
          <w:t>https://doi.org/10.1377/hlthaff.2024.01485</w:t>
        </w:r>
      </w:hyperlink>
    </w:p>
    <w:p w14:paraId="7C266839" w14:textId="78207488" w:rsidR="00BD3DE6" w:rsidRPr="00990078" w:rsidRDefault="00982BD6" w:rsidP="00982BD6">
      <w:pPr>
        <w:spacing w:after="0" w:line="480" w:lineRule="auto"/>
        <w:ind w:left="720" w:hanging="720"/>
        <w:rPr>
          <w:rFonts w:ascii="Garamond" w:hAnsi="Garamond" w:cs="Times New Roman"/>
        </w:rPr>
      </w:pPr>
      <w:proofErr w:type="spellStart"/>
      <w:r w:rsidRPr="00990078">
        <w:rPr>
          <w:rFonts w:ascii="Garamond" w:hAnsi="Garamond" w:cs="Times New Roman"/>
        </w:rPr>
        <w:t>Wagenschieber</w:t>
      </w:r>
      <w:proofErr w:type="spellEnd"/>
      <w:r w:rsidRPr="00990078">
        <w:rPr>
          <w:rFonts w:ascii="Garamond" w:hAnsi="Garamond" w:cs="Times New Roman"/>
        </w:rPr>
        <w:t xml:space="preserve">, D., &amp; Blunck, E. (2024). Impact of reimbursement systems on patient care: A systematic review of systematic reviews. </w:t>
      </w:r>
      <w:r w:rsidRPr="00990078">
        <w:rPr>
          <w:rFonts w:ascii="Garamond" w:hAnsi="Garamond" w:cs="Times New Roman"/>
          <w:i/>
          <w:iCs/>
        </w:rPr>
        <w:t>Health Economics Review, 14</w:t>
      </w:r>
      <w:r w:rsidRPr="00990078">
        <w:rPr>
          <w:rFonts w:ascii="Garamond" w:hAnsi="Garamond" w:cs="Times New Roman"/>
        </w:rPr>
        <w:t xml:space="preserve">(1), Article 39. </w:t>
      </w:r>
      <w:hyperlink r:id="rId31" w:tgtFrame="_new" w:history="1">
        <w:r w:rsidRPr="00990078">
          <w:rPr>
            <w:rStyle w:val="Hyperlink"/>
            <w:rFonts w:ascii="Garamond" w:hAnsi="Garamond" w:cs="Times New Roman"/>
          </w:rPr>
          <w:t>https://doi.org/10.1186/s13561-024-00487-6</w:t>
        </w:r>
      </w:hyperlink>
    </w:p>
    <w:p w14:paraId="2FDC46D1" w14:textId="77777777" w:rsidR="00F04DDE" w:rsidRPr="00990078" w:rsidRDefault="00F04DDE">
      <w:pPr>
        <w:rPr>
          <w:rFonts w:ascii="Garamond" w:eastAsiaTheme="majorEastAsia" w:hAnsi="Garamond" w:cs="Times New Roman"/>
          <w:b/>
          <w:bCs/>
        </w:rPr>
      </w:pPr>
      <w:r w:rsidRPr="00990078">
        <w:rPr>
          <w:rFonts w:ascii="Garamond" w:hAnsi="Garamond" w:cs="Times New Roman"/>
          <w:b/>
          <w:bCs/>
        </w:rPr>
        <w:br w:type="page"/>
      </w:r>
    </w:p>
    <w:p w14:paraId="7EEFEB40" w14:textId="25EDD39F" w:rsidR="003D515F" w:rsidRPr="00990078" w:rsidRDefault="00BD3DE6" w:rsidP="00F04DDE">
      <w:pPr>
        <w:pStyle w:val="Heading1"/>
        <w:jc w:val="center"/>
        <w:rPr>
          <w:rFonts w:ascii="Garamond" w:hAnsi="Garamond" w:cs="Times New Roman"/>
          <w:b/>
          <w:bCs/>
          <w:color w:val="auto"/>
          <w:sz w:val="24"/>
          <w:szCs w:val="24"/>
        </w:rPr>
      </w:pPr>
      <w:bookmarkStart w:id="25" w:name="_Toc228175332"/>
      <w:r w:rsidRPr="00990078">
        <w:rPr>
          <w:rFonts w:ascii="Garamond" w:hAnsi="Garamond" w:cs="Times New Roman"/>
          <w:b/>
          <w:bCs/>
          <w:color w:val="auto"/>
          <w:sz w:val="24"/>
          <w:szCs w:val="24"/>
        </w:rPr>
        <w:lastRenderedPageBreak/>
        <w:t>Appendix A</w:t>
      </w:r>
      <w:bookmarkEnd w:id="25"/>
    </w:p>
    <w:p w14:paraId="1C789A2C" w14:textId="29745D61" w:rsidR="00BD3DE6" w:rsidRPr="00990078" w:rsidRDefault="00F00586" w:rsidP="00F00586">
      <w:pPr>
        <w:jc w:val="center"/>
        <w:rPr>
          <w:rFonts w:ascii="Garamond" w:hAnsi="Garamond" w:cs="Times New Roman"/>
          <w:b/>
          <w:bCs/>
        </w:rPr>
      </w:pPr>
      <w:r w:rsidRPr="00990078">
        <w:rPr>
          <w:rFonts w:ascii="Garamond" w:hAnsi="Garamond" w:cs="Times New Roman"/>
          <w:b/>
          <w:bCs/>
        </w:rPr>
        <w:t>Project Charter</w:t>
      </w:r>
      <w:bookmarkStart w:id="26" w:name="_jxwb16h8sddh" w:colFirst="0" w:colLast="0"/>
      <w:bookmarkEnd w:id="26"/>
    </w:p>
    <w:tbl>
      <w:tblPr>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45"/>
      </w:tblGrid>
      <w:tr w:rsidR="00BD3DE6" w:rsidRPr="00990078" w14:paraId="1AC7D0F8" w14:textId="77777777" w:rsidTr="00D53CC6">
        <w:tc>
          <w:tcPr>
            <w:tcW w:w="9345" w:type="dxa"/>
            <w:shd w:val="clear" w:color="auto" w:fill="000000"/>
            <w:tcMar>
              <w:top w:w="100" w:type="dxa"/>
              <w:left w:w="100" w:type="dxa"/>
              <w:bottom w:w="100" w:type="dxa"/>
              <w:right w:w="100" w:type="dxa"/>
            </w:tcMar>
          </w:tcPr>
          <w:p w14:paraId="59BF4BB2" w14:textId="77777777" w:rsidR="00BD3DE6" w:rsidRPr="00990078" w:rsidRDefault="00BD3DE6" w:rsidP="00D53CC6">
            <w:pPr>
              <w:pStyle w:val="Title"/>
              <w:ind w:left="720"/>
              <w:jc w:val="center"/>
              <w:rPr>
                <w:rFonts w:ascii="Garamond" w:hAnsi="Garamond"/>
                <w:sz w:val="24"/>
                <w:szCs w:val="24"/>
              </w:rPr>
            </w:pPr>
            <w:bookmarkStart w:id="27" w:name="_43vv9ek0qgo7" w:colFirst="0" w:colLast="0"/>
            <w:bookmarkEnd w:id="27"/>
            <w:r w:rsidRPr="00990078">
              <w:rPr>
                <w:rFonts w:ascii="Garamond" w:hAnsi="Garamond"/>
                <w:color w:val="FFC627"/>
                <w:sz w:val="24"/>
                <w:szCs w:val="24"/>
                <w:highlight w:val="black"/>
              </w:rPr>
              <w:t>Project Charter</w:t>
            </w:r>
            <w:r w:rsidRPr="00990078">
              <w:rPr>
                <w:rFonts w:ascii="Garamond" w:hAnsi="Garamond"/>
                <w:sz w:val="24"/>
                <w:szCs w:val="24"/>
              </w:rPr>
              <w:t xml:space="preserve"> </w:t>
            </w:r>
          </w:p>
        </w:tc>
      </w:tr>
    </w:tbl>
    <w:p w14:paraId="3C4FCE4B" w14:textId="549183E9" w:rsidR="00BD3DE6" w:rsidRPr="00990078" w:rsidRDefault="00BD3DE6" w:rsidP="00BD3DE6">
      <w:pPr>
        <w:rPr>
          <w:rFonts w:ascii="Garamond" w:hAnsi="Garamond"/>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BD3DE6" w:rsidRPr="00990078" w14:paraId="7DB159E5" w14:textId="77777777" w:rsidTr="00D53CC6">
        <w:tc>
          <w:tcPr>
            <w:tcW w:w="9360" w:type="dxa"/>
            <w:shd w:val="clear" w:color="auto" w:fill="FFC627"/>
            <w:tcMar>
              <w:top w:w="100" w:type="dxa"/>
              <w:left w:w="100" w:type="dxa"/>
              <w:bottom w:w="100" w:type="dxa"/>
              <w:right w:w="100" w:type="dxa"/>
            </w:tcMar>
          </w:tcPr>
          <w:p w14:paraId="5CA9EB36" w14:textId="77777777" w:rsidR="00BD3DE6" w:rsidRPr="00990078" w:rsidRDefault="00BD3DE6" w:rsidP="00982BD6">
            <w:pPr>
              <w:jc w:val="center"/>
              <w:rPr>
                <w:rFonts w:ascii="Garamond" w:hAnsi="Garamond"/>
              </w:rPr>
            </w:pPr>
            <w:bookmarkStart w:id="28" w:name="_snssksnmjbhm" w:colFirst="0" w:colLast="0"/>
            <w:bookmarkEnd w:id="28"/>
            <w:r w:rsidRPr="00990078">
              <w:rPr>
                <w:rFonts w:ascii="Garamond" w:hAnsi="Garamond"/>
              </w:rPr>
              <w:t>General Information</w:t>
            </w:r>
          </w:p>
        </w:tc>
      </w:tr>
    </w:tbl>
    <w:p w14:paraId="17D299E2" w14:textId="77777777" w:rsidR="00BD3DE6" w:rsidRPr="00990078" w:rsidRDefault="00BD3DE6" w:rsidP="00982BD6">
      <w:pPr>
        <w:rPr>
          <w:rFonts w:ascii="Garamond" w:hAnsi="Garamond" w:cs="Times New Roman"/>
          <w:b/>
          <w:bCs/>
        </w:rPr>
      </w:pPr>
      <w:bookmarkStart w:id="29" w:name="_9xhk3jldg0hj" w:colFirst="0" w:colLast="0"/>
      <w:bookmarkEnd w:id="29"/>
      <w:r w:rsidRPr="00990078">
        <w:rPr>
          <w:rFonts w:ascii="Garamond" w:hAnsi="Garamond" w:cs="Times New Roman"/>
          <w:b/>
          <w:bCs/>
        </w:rPr>
        <w:t>DBH Student Contact Information</w:t>
      </w:r>
    </w:p>
    <w:p w14:paraId="056637F7" w14:textId="77777777" w:rsidR="00BD3DE6" w:rsidRPr="00990078" w:rsidRDefault="00BD3DE6" w:rsidP="00982BD6">
      <w:pPr>
        <w:rPr>
          <w:rFonts w:ascii="Garamond" w:hAnsi="Garamond" w:cs="Times New Roman"/>
        </w:rPr>
      </w:pPr>
      <w:bookmarkStart w:id="30" w:name="_6o8o21wq9yam" w:colFirst="0" w:colLast="0"/>
      <w:bookmarkEnd w:id="30"/>
      <w:r w:rsidRPr="00990078">
        <w:rPr>
          <w:rFonts w:ascii="Garamond" w:hAnsi="Garamond" w:cs="Times New Roman"/>
          <w:b/>
          <w:bCs/>
        </w:rPr>
        <w:t>Name</w:t>
      </w:r>
      <w:r w:rsidRPr="00990078">
        <w:rPr>
          <w:rFonts w:ascii="Garamond" w:hAnsi="Garamond" w:cs="Times New Roman"/>
        </w:rPr>
        <w:t>: Hannah Penry</w:t>
      </w:r>
    </w:p>
    <w:p w14:paraId="3D7DAF6F" w14:textId="77777777" w:rsidR="00BD3DE6" w:rsidRPr="00990078" w:rsidRDefault="00BD3DE6" w:rsidP="00982BD6">
      <w:pPr>
        <w:rPr>
          <w:rFonts w:ascii="Garamond" w:hAnsi="Garamond" w:cs="Times New Roman"/>
        </w:rPr>
      </w:pPr>
      <w:bookmarkStart w:id="31" w:name="_4gr0sckqnnyu" w:colFirst="0" w:colLast="0"/>
      <w:bookmarkEnd w:id="31"/>
      <w:r w:rsidRPr="00990078">
        <w:rPr>
          <w:rFonts w:ascii="Garamond" w:hAnsi="Garamond" w:cs="Times New Roman"/>
          <w:b/>
          <w:bCs/>
        </w:rPr>
        <w:t>ASU Email:</w:t>
      </w:r>
      <w:r w:rsidRPr="00990078">
        <w:rPr>
          <w:rFonts w:ascii="Garamond" w:hAnsi="Garamond" w:cs="Times New Roman"/>
        </w:rPr>
        <w:t xml:space="preserve"> hpenry@asu.edu</w:t>
      </w:r>
    </w:p>
    <w:p w14:paraId="19C011B7" w14:textId="77777777" w:rsidR="00BD3DE6" w:rsidRPr="00990078" w:rsidRDefault="00BD3DE6" w:rsidP="00982BD6">
      <w:pPr>
        <w:rPr>
          <w:rFonts w:ascii="Garamond" w:hAnsi="Garamond" w:cs="Times New Roman"/>
        </w:rPr>
      </w:pPr>
      <w:bookmarkStart w:id="32" w:name="_vz01e2am22gs" w:colFirst="0" w:colLast="0"/>
      <w:bookmarkEnd w:id="32"/>
      <w:r w:rsidRPr="00990078">
        <w:rPr>
          <w:rFonts w:ascii="Garamond" w:hAnsi="Garamond" w:cs="Times New Roman"/>
          <w:b/>
          <w:bCs/>
        </w:rPr>
        <w:t>Clinical or Management Track:</w:t>
      </w:r>
      <w:r w:rsidRPr="00990078">
        <w:rPr>
          <w:rFonts w:ascii="Garamond" w:hAnsi="Garamond" w:cs="Times New Roman"/>
        </w:rPr>
        <w:t xml:space="preserve"> Management</w:t>
      </w:r>
    </w:p>
    <w:p w14:paraId="20828723" w14:textId="6D7E654C" w:rsidR="00BD3DE6" w:rsidRPr="00990078" w:rsidRDefault="00BD3DE6" w:rsidP="00982BD6">
      <w:pPr>
        <w:rPr>
          <w:rFonts w:ascii="Garamond" w:hAnsi="Garamond" w:cs="Times New Roman"/>
        </w:rPr>
      </w:pPr>
      <w:bookmarkStart w:id="33" w:name="_86r7mnliqdx" w:colFirst="0" w:colLast="0"/>
      <w:bookmarkEnd w:id="33"/>
      <w:r w:rsidRPr="00990078">
        <w:rPr>
          <w:rFonts w:ascii="Garamond" w:hAnsi="Garamond" w:cs="Times New Roman"/>
          <w:b/>
          <w:bCs/>
        </w:rPr>
        <w:t>IBC 793 Course Enrollment Term</w:t>
      </w:r>
      <w:r w:rsidRPr="00990078">
        <w:rPr>
          <w:rFonts w:ascii="Garamond" w:hAnsi="Garamond" w:cs="Times New Roman"/>
        </w:rPr>
        <w:t>: Fall 2026</w:t>
      </w:r>
      <w:bookmarkStart w:id="34" w:name="_fo9kdll130l8" w:colFirst="0" w:colLast="0"/>
      <w:bookmarkEnd w:id="34"/>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BD3DE6" w:rsidRPr="00990078" w14:paraId="37DA1067" w14:textId="77777777" w:rsidTr="00D53CC6">
        <w:tc>
          <w:tcPr>
            <w:tcW w:w="9360" w:type="dxa"/>
            <w:shd w:val="clear" w:color="auto" w:fill="FFC627"/>
            <w:tcMar>
              <w:top w:w="100" w:type="dxa"/>
              <w:left w:w="100" w:type="dxa"/>
              <w:bottom w:w="100" w:type="dxa"/>
              <w:right w:w="100" w:type="dxa"/>
            </w:tcMar>
          </w:tcPr>
          <w:p w14:paraId="4A86FE64" w14:textId="77777777" w:rsidR="00BD3DE6" w:rsidRPr="00990078" w:rsidRDefault="00BD3DE6" w:rsidP="00982BD6">
            <w:pPr>
              <w:jc w:val="center"/>
              <w:rPr>
                <w:rFonts w:ascii="Garamond" w:hAnsi="Garamond"/>
              </w:rPr>
            </w:pPr>
            <w:bookmarkStart w:id="35" w:name="_qv9jpz9plrrz" w:colFirst="0" w:colLast="0"/>
            <w:bookmarkEnd w:id="35"/>
            <w:r w:rsidRPr="00990078">
              <w:rPr>
                <w:rFonts w:ascii="Garamond" w:hAnsi="Garamond"/>
              </w:rPr>
              <w:t>Project Specifics</w:t>
            </w:r>
          </w:p>
        </w:tc>
      </w:tr>
    </w:tbl>
    <w:p w14:paraId="70C678CC" w14:textId="77777777" w:rsidR="00BD3DE6" w:rsidRPr="00990078" w:rsidRDefault="00BD3DE6" w:rsidP="00F00586">
      <w:pPr>
        <w:rPr>
          <w:rFonts w:ascii="Garamond" w:hAnsi="Garamond" w:cs="Times New Roman"/>
        </w:rPr>
      </w:pPr>
      <w:bookmarkStart w:id="36" w:name="_3610z62c03ui" w:colFirst="0" w:colLast="0"/>
      <w:bookmarkEnd w:id="36"/>
      <w:r w:rsidRPr="00990078">
        <w:rPr>
          <w:rFonts w:ascii="Garamond" w:hAnsi="Garamond" w:cs="Times New Roman"/>
          <w:b/>
          <w:bCs/>
        </w:rPr>
        <w:t>Project Title:</w:t>
      </w:r>
      <w:r w:rsidRPr="00990078">
        <w:rPr>
          <w:rFonts w:ascii="Garamond" w:hAnsi="Garamond" w:cs="Times New Roman"/>
        </w:rPr>
        <w:t xml:space="preserve"> Improving Medicaid Compliance in ABA: Implementing a Standardized Note Conversion Checklist to Reduce Claim Denials </w:t>
      </w:r>
    </w:p>
    <w:p w14:paraId="0915309C" w14:textId="77777777" w:rsidR="00BD3DE6" w:rsidRPr="00990078" w:rsidRDefault="00BD3DE6" w:rsidP="00F00586">
      <w:pPr>
        <w:rPr>
          <w:rFonts w:ascii="Garamond" w:hAnsi="Garamond" w:cs="Times New Roman"/>
          <w:b/>
          <w:bCs/>
        </w:rPr>
      </w:pPr>
      <w:bookmarkStart w:id="37" w:name="_szph5gjgivyn" w:colFirst="0" w:colLast="0"/>
      <w:bookmarkEnd w:id="37"/>
      <w:r w:rsidRPr="00990078">
        <w:rPr>
          <w:rFonts w:ascii="Garamond" w:hAnsi="Garamond" w:cs="Times New Roman"/>
          <w:b/>
          <w:bCs/>
        </w:rPr>
        <w:t>PICOT Question</w:t>
      </w:r>
    </w:p>
    <w:p w14:paraId="687D745F" w14:textId="5551FB10" w:rsidR="00BD3DE6" w:rsidRPr="00990078" w:rsidRDefault="00BD3DE6" w:rsidP="00F00586">
      <w:pPr>
        <w:rPr>
          <w:rFonts w:ascii="Garamond" w:hAnsi="Garamond" w:cs="Times New Roman"/>
        </w:rPr>
      </w:pPr>
      <w:bookmarkStart w:id="38" w:name="_ck4jyo8l5xv8" w:colFirst="0" w:colLast="0"/>
      <w:bookmarkEnd w:id="38"/>
      <w:r w:rsidRPr="00990078">
        <w:rPr>
          <w:rFonts w:ascii="Garamond" w:hAnsi="Garamond" w:cs="Times New Roman"/>
        </w:rPr>
        <w:t>Among ABA providers in Indiana who deliver Medicaid-funded services, does using a standardized note conversion checklist, compared to current inconsistent and fragmented practices, decrease claim denials within 12 months?</w:t>
      </w:r>
    </w:p>
    <w:p w14:paraId="30B50536" w14:textId="77777777" w:rsidR="00BD3DE6" w:rsidRPr="00990078" w:rsidRDefault="00BD3DE6" w:rsidP="00F00586">
      <w:pPr>
        <w:rPr>
          <w:rFonts w:ascii="Garamond" w:hAnsi="Garamond" w:cs="Times New Roman"/>
          <w:b/>
          <w:bCs/>
        </w:rPr>
      </w:pPr>
      <w:bookmarkStart w:id="39" w:name="_349h5fpfgt2s" w:colFirst="0" w:colLast="0"/>
      <w:bookmarkEnd w:id="39"/>
      <w:r w:rsidRPr="00990078">
        <w:rPr>
          <w:rFonts w:ascii="Garamond" w:hAnsi="Garamond" w:cs="Times New Roman"/>
          <w:b/>
          <w:bCs/>
        </w:rPr>
        <w:t xml:space="preserve">Intervention(s): </w:t>
      </w:r>
    </w:p>
    <w:p w14:paraId="280A79F1" w14:textId="519827DA" w:rsidR="00BD3DE6" w:rsidRPr="00990078" w:rsidRDefault="00BD3DE6" w:rsidP="00BD3DE6">
      <w:pPr>
        <w:rPr>
          <w:rFonts w:ascii="Garamond" w:hAnsi="Garamond" w:cs="Times New Roman"/>
        </w:rPr>
      </w:pPr>
      <w:r w:rsidRPr="00990078">
        <w:rPr>
          <w:rFonts w:ascii="Garamond" w:hAnsi="Garamond" w:cs="Times New Roman"/>
        </w:rPr>
        <w:t xml:space="preserve">The intervention for this project is the implementation of a standardized note conversion checklist for Medicaid-funded Applied Behavior Analysis (ABA) providers in Indiana. This checklist serves as a structured documentation tool that ensures all Medicaid elements are consistently included in session notes. </w:t>
      </w:r>
    </w:p>
    <w:p w14:paraId="34F4D3AA" w14:textId="77777777" w:rsidR="00BD3DE6" w:rsidRPr="00990078" w:rsidRDefault="00BD3DE6" w:rsidP="00F00586">
      <w:pPr>
        <w:rPr>
          <w:rFonts w:ascii="Garamond" w:hAnsi="Garamond" w:cs="Times New Roman"/>
          <w:b/>
          <w:bCs/>
        </w:rPr>
      </w:pPr>
      <w:bookmarkStart w:id="40" w:name="_my1kkrju8800" w:colFirst="0" w:colLast="0"/>
      <w:bookmarkEnd w:id="40"/>
      <w:r w:rsidRPr="00990078">
        <w:rPr>
          <w:rFonts w:ascii="Garamond" w:hAnsi="Garamond" w:cs="Times New Roman"/>
          <w:b/>
          <w:bCs/>
        </w:rPr>
        <w:t xml:space="preserve">Measure (s): </w:t>
      </w:r>
    </w:p>
    <w:p w14:paraId="687F7B78" w14:textId="553DB31B" w:rsidR="00BD3DE6" w:rsidRPr="00990078" w:rsidRDefault="00BD3DE6" w:rsidP="00F00586">
      <w:pPr>
        <w:rPr>
          <w:rFonts w:ascii="Garamond" w:hAnsi="Garamond" w:cs="Times New Roman"/>
        </w:rPr>
      </w:pPr>
      <w:r w:rsidRPr="00990078">
        <w:rPr>
          <w:rFonts w:ascii="Garamond" w:hAnsi="Garamond" w:cs="Times New Roman"/>
        </w:rPr>
        <w:t>The measure for this project is the claim denial rate defined as the percentage of Medicaid-funded ABA claims denied. Baseline data will capture the current denial rate under inconsistent documentation practices and post-intervention data will assess the denial rate after 6-12 months of implementing the standardized checklist.</w:t>
      </w:r>
    </w:p>
    <w:p w14:paraId="3930F2AD" w14:textId="77777777" w:rsidR="00F00586" w:rsidRPr="00990078" w:rsidRDefault="00BD3DE6" w:rsidP="00F00586">
      <w:pPr>
        <w:rPr>
          <w:rFonts w:ascii="Garamond" w:hAnsi="Garamond" w:cs="Times New Roman"/>
        </w:rPr>
      </w:pPr>
      <w:r w:rsidRPr="00990078">
        <w:rPr>
          <w:rFonts w:ascii="Garamond" w:hAnsi="Garamond" w:cs="Times New Roman"/>
        </w:rPr>
        <w:t xml:space="preserve">Secondary measures will include documentation accuracy and completeness, assessed through audits of session notes against Medicaid compliance requirements; financial impact, measured by changes in revenue capture and reductions in rework costs; and staff adherence to the checklist, evaluated </w:t>
      </w:r>
      <w:r w:rsidRPr="00990078">
        <w:rPr>
          <w:rFonts w:ascii="Garamond" w:hAnsi="Garamond" w:cs="Times New Roman"/>
        </w:rPr>
        <w:lastRenderedPageBreak/>
        <w:t xml:space="preserve">through periodic audits and feedback from providers. Together, these measures will provide a comprehensive assessment of whether the intervention reduces denials, improves documentation quality, and enhances financial sustainability. </w:t>
      </w:r>
      <w:bookmarkStart w:id="41" w:name="_j248uci0dyiq" w:colFirst="0" w:colLast="0"/>
      <w:bookmarkEnd w:id="41"/>
    </w:p>
    <w:p w14:paraId="7A8FE891" w14:textId="0F368249" w:rsidR="00BD3DE6" w:rsidRPr="00990078" w:rsidRDefault="00BD3DE6" w:rsidP="00F00586">
      <w:pPr>
        <w:rPr>
          <w:rFonts w:ascii="Garamond" w:hAnsi="Garamond" w:cs="Times New Roman"/>
          <w:b/>
          <w:bCs/>
        </w:rPr>
      </w:pPr>
      <w:r w:rsidRPr="00990078">
        <w:rPr>
          <w:rFonts w:ascii="Garamond" w:hAnsi="Garamond" w:cs="Times New Roman"/>
          <w:b/>
          <w:bCs/>
        </w:rPr>
        <w:t>Anticipated Outcomes</w:t>
      </w:r>
    </w:p>
    <w:p w14:paraId="7DD9FE87" w14:textId="77777777" w:rsidR="00BD3DE6" w:rsidRPr="00990078" w:rsidRDefault="00BD3DE6" w:rsidP="00F00586">
      <w:pPr>
        <w:pStyle w:val="ListParagraph"/>
        <w:numPr>
          <w:ilvl w:val="0"/>
          <w:numId w:val="9"/>
        </w:numPr>
        <w:rPr>
          <w:rFonts w:ascii="Garamond" w:hAnsi="Garamond" w:cs="Times New Roman"/>
        </w:rPr>
      </w:pPr>
      <w:r w:rsidRPr="00990078">
        <w:rPr>
          <w:rFonts w:ascii="Garamond" w:hAnsi="Garamond" w:cs="Times New Roman"/>
        </w:rPr>
        <w:t xml:space="preserve">Reduce Claim Denials: The standardized note conversion checklist will decrease the percentage of Medicaid-funded ABA claims denied by addressing common documentation errors and payer compliance issues. </w:t>
      </w:r>
    </w:p>
    <w:p w14:paraId="2F068AFD" w14:textId="77777777" w:rsidR="00BD3DE6" w:rsidRPr="00990078" w:rsidRDefault="00BD3DE6" w:rsidP="00F00586">
      <w:pPr>
        <w:pStyle w:val="ListParagraph"/>
        <w:numPr>
          <w:ilvl w:val="0"/>
          <w:numId w:val="9"/>
        </w:numPr>
        <w:rPr>
          <w:rFonts w:ascii="Garamond" w:hAnsi="Garamond" w:cs="Times New Roman"/>
        </w:rPr>
      </w:pPr>
      <w:r w:rsidRPr="00990078">
        <w:rPr>
          <w:rFonts w:ascii="Garamond" w:hAnsi="Garamond" w:cs="Times New Roman"/>
        </w:rPr>
        <w:t>Improved Documentation Quality: Provider notes will become more accurate, complete, and consistent, with higher compliance to Medicaid requirements and fewer missing or vague elements.</w:t>
      </w:r>
    </w:p>
    <w:p w14:paraId="6C3B1E14" w14:textId="2EE978FB" w:rsidR="00BD3DE6" w:rsidRPr="00990078" w:rsidRDefault="00BD3DE6" w:rsidP="00BD3DE6">
      <w:pPr>
        <w:pStyle w:val="ListParagraph"/>
        <w:numPr>
          <w:ilvl w:val="0"/>
          <w:numId w:val="9"/>
        </w:numPr>
        <w:rPr>
          <w:rFonts w:ascii="Garamond" w:hAnsi="Garamond" w:cs="Times New Roman"/>
        </w:rPr>
      </w:pPr>
      <w:r w:rsidRPr="00990078">
        <w:rPr>
          <w:rFonts w:ascii="Garamond" w:hAnsi="Garamond" w:cs="Times New Roman"/>
        </w:rPr>
        <w:t xml:space="preserve">Enhanced Financial Sustainability: By lowering rework costs and increasing successful reimbursements, organizations will see improved revenue capture and greater stability in delivering ABA services. </w:t>
      </w:r>
    </w:p>
    <w:p w14:paraId="2F296E20" w14:textId="4DD2FFE3" w:rsidR="00BD3DE6" w:rsidRPr="00990078" w:rsidRDefault="00BD3DE6" w:rsidP="00F00586">
      <w:pPr>
        <w:rPr>
          <w:rFonts w:ascii="Garamond" w:hAnsi="Garamond" w:cs="Times New Roman"/>
          <w:b/>
          <w:bCs/>
        </w:rPr>
      </w:pPr>
      <w:r w:rsidRPr="00990078">
        <w:rPr>
          <w:rFonts w:ascii="Garamond" w:hAnsi="Garamond" w:cs="Times New Roman"/>
          <w:b/>
          <w:bCs/>
        </w:rPr>
        <w:t xml:space="preserve">Stakeholders </w:t>
      </w:r>
    </w:p>
    <w:p w14:paraId="740B7E53" w14:textId="5F96F561" w:rsidR="00BD3DE6" w:rsidRPr="00990078" w:rsidRDefault="00BD3DE6" w:rsidP="00F00586">
      <w:pPr>
        <w:rPr>
          <w:rFonts w:ascii="Garamond" w:hAnsi="Garamond" w:cs="Times New Roman"/>
        </w:rPr>
      </w:pPr>
      <w:r w:rsidRPr="00990078">
        <w:rPr>
          <w:rFonts w:ascii="Garamond" w:hAnsi="Garamond" w:cs="Times New Roman"/>
        </w:rPr>
        <w:t>The stakeholders for this project include multiple groups who are directly impacted by claim denials and the implementation of a standardized note conversion checklist. Applied Behavior Analysis (ABA) providers, including Board Certified Behavior Analysts (BCBAs), Board Certified Assistant Behavior Analysts (</w:t>
      </w:r>
      <w:proofErr w:type="spellStart"/>
      <w:r w:rsidRPr="00990078">
        <w:rPr>
          <w:rFonts w:ascii="Garamond" w:hAnsi="Garamond" w:cs="Times New Roman"/>
        </w:rPr>
        <w:t>BCaBAs</w:t>
      </w:r>
      <w:proofErr w:type="spellEnd"/>
      <w:r w:rsidRPr="00990078">
        <w:rPr>
          <w:rFonts w:ascii="Garamond" w:hAnsi="Garamond" w:cs="Times New Roman"/>
        </w:rPr>
        <w:t>), and Registered Behavior Technicians (RBTs), are frontline users who will apply the checklist in daily documentation practices. Clinical leaders and administrators are responsible for ensuring compliance, monitoring outcomes, and supporting integration into existing workflows, while billing and revenue cycle staff depend on accurate documentation to reduce rework, improve claim approval rates, and strengthen overall financial performance. Clients and families also benefit indirectly, as fewer denials improve continuity of care and reduce barriers to accessing needed ABA services. Finally, Medicaid payers and state regulators are key stakeholders because they rely on accurate documentation for compliance and reimbursement, and their approval processes directly shape service access and sustainability</w:t>
      </w:r>
      <w:bookmarkStart w:id="42" w:name="_rcpso5m20f2r" w:colFirst="0" w:colLast="0"/>
      <w:bookmarkStart w:id="43" w:name="_otv3emyvvo8t" w:colFirst="0" w:colLast="0"/>
      <w:bookmarkEnd w:id="42"/>
      <w:bookmarkEnd w:id="43"/>
      <w:r w:rsidR="00F00586" w:rsidRPr="00990078">
        <w:rPr>
          <w:rFonts w:ascii="Garamond" w:hAnsi="Garamond" w:cs="Times New Roman"/>
        </w:rPr>
        <w:t>.</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BD3DE6" w:rsidRPr="00990078" w14:paraId="545D5A4E" w14:textId="77777777" w:rsidTr="00D53CC6">
        <w:tc>
          <w:tcPr>
            <w:tcW w:w="9360" w:type="dxa"/>
            <w:shd w:val="clear" w:color="auto" w:fill="FFC627"/>
            <w:tcMar>
              <w:top w:w="100" w:type="dxa"/>
              <w:left w:w="100" w:type="dxa"/>
              <w:bottom w:w="100" w:type="dxa"/>
              <w:right w:w="100" w:type="dxa"/>
            </w:tcMar>
          </w:tcPr>
          <w:p w14:paraId="77FA3201" w14:textId="77777777" w:rsidR="00BD3DE6" w:rsidRPr="00990078" w:rsidRDefault="00BD3DE6" w:rsidP="00982BD6">
            <w:pPr>
              <w:jc w:val="center"/>
              <w:rPr>
                <w:rFonts w:ascii="Garamond" w:hAnsi="Garamond"/>
              </w:rPr>
            </w:pPr>
            <w:bookmarkStart w:id="44" w:name="_h9bdacadf0be" w:colFirst="0" w:colLast="0"/>
            <w:bookmarkEnd w:id="44"/>
            <w:r w:rsidRPr="00990078">
              <w:rPr>
                <w:rFonts w:ascii="Garamond" w:hAnsi="Garamond"/>
              </w:rPr>
              <w:t>Project Description: SBAR</w:t>
            </w:r>
          </w:p>
        </w:tc>
      </w:tr>
    </w:tbl>
    <w:p w14:paraId="1C5E4B9D" w14:textId="77777777" w:rsidR="00BD3DE6" w:rsidRPr="00990078" w:rsidRDefault="00BD3DE6" w:rsidP="00F00586">
      <w:pPr>
        <w:rPr>
          <w:rFonts w:ascii="Garamond" w:hAnsi="Garamond" w:cs="Times New Roman"/>
          <w:b/>
          <w:bCs/>
        </w:rPr>
      </w:pPr>
      <w:bookmarkStart w:id="45" w:name="_pu9chhrgtrca" w:colFirst="0" w:colLast="0"/>
      <w:bookmarkEnd w:id="45"/>
      <w:r w:rsidRPr="00990078">
        <w:rPr>
          <w:rFonts w:ascii="Garamond" w:hAnsi="Garamond" w:cs="Times New Roman"/>
          <w:b/>
          <w:bCs/>
        </w:rPr>
        <w:t xml:space="preserve">Mini SBAR </w:t>
      </w:r>
    </w:p>
    <w:p w14:paraId="68878160" w14:textId="77777777" w:rsidR="00BD3DE6" w:rsidRPr="00990078" w:rsidRDefault="00BD3DE6" w:rsidP="00F00586">
      <w:pPr>
        <w:rPr>
          <w:rFonts w:ascii="Garamond" w:hAnsi="Garamond" w:cs="Times New Roman"/>
        </w:rPr>
      </w:pPr>
      <w:r w:rsidRPr="00990078">
        <w:rPr>
          <w:rFonts w:ascii="Garamond" w:hAnsi="Garamond" w:cs="Times New Roman"/>
        </w:rPr>
        <w:t>(Situation, Background, Assessment, Recommendation)</w:t>
      </w:r>
    </w:p>
    <w:p w14:paraId="317B3AAF" w14:textId="77777777" w:rsidR="00BD3DE6" w:rsidRPr="00990078" w:rsidRDefault="00BD3DE6" w:rsidP="00F00586">
      <w:pPr>
        <w:rPr>
          <w:rFonts w:ascii="Garamond" w:hAnsi="Garamond" w:cs="Times New Roman"/>
          <w:b/>
          <w:bCs/>
        </w:rPr>
      </w:pPr>
      <w:bookmarkStart w:id="46" w:name="_x9k470agrshg" w:colFirst="0" w:colLast="0"/>
      <w:bookmarkEnd w:id="46"/>
      <w:r w:rsidRPr="00990078">
        <w:rPr>
          <w:rFonts w:ascii="Garamond" w:hAnsi="Garamond" w:cs="Times New Roman"/>
          <w:b/>
          <w:bCs/>
        </w:rPr>
        <w:t xml:space="preserve">Situation: </w:t>
      </w:r>
    </w:p>
    <w:p w14:paraId="5D06D873" w14:textId="023147F3" w:rsidR="00BD3DE6" w:rsidRPr="00990078" w:rsidRDefault="00BD3DE6" w:rsidP="00F00586">
      <w:pPr>
        <w:rPr>
          <w:rFonts w:ascii="Garamond" w:hAnsi="Garamond" w:cs="Times New Roman"/>
        </w:rPr>
      </w:pPr>
      <w:r w:rsidRPr="00990078">
        <w:rPr>
          <w:rFonts w:ascii="Garamond" w:hAnsi="Garamond" w:cs="Times New Roman"/>
        </w:rPr>
        <w:t xml:space="preserve">Applied behavior Analysis (ABA) providers in Indiana frequently experience Medicaid claim denials due to incomplete documentation, coding errors, and payer restrictions. These denials disrupt care, delay reimbursement, and threaten the financial stability of provider organizations. </w:t>
      </w:r>
    </w:p>
    <w:p w14:paraId="6AAA8D64" w14:textId="77777777" w:rsidR="00BD3DE6" w:rsidRPr="00990078" w:rsidRDefault="00BD3DE6" w:rsidP="00F00586">
      <w:pPr>
        <w:rPr>
          <w:rFonts w:ascii="Garamond" w:hAnsi="Garamond" w:cs="Times New Roman"/>
          <w:b/>
          <w:bCs/>
        </w:rPr>
      </w:pPr>
      <w:r w:rsidRPr="00990078">
        <w:rPr>
          <w:rFonts w:ascii="Garamond" w:hAnsi="Garamond" w:cs="Times New Roman"/>
          <w:b/>
          <w:bCs/>
        </w:rPr>
        <w:t xml:space="preserve">Background: </w:t>
      </w:r>
    </w:p>
    <w:p w14:paraId="745A2641" w14:textId="37A1F857" w:rsidR="00BD3DE6" w:rsidRPr="00990078" w:rsidRDefault="00BD3DE6" w:rsidP="00F00586">
      <w:pPr>
        <w:rPr>
          <w:rFonts w:ascii="Garamond" w:hAnsi="Garamond" w:cs="Times New Roman"/>
        </w:rPr>
      </w:pPr>
      <w:r w:rsidRPr="00990078">
        <w:rPr>
          <w:rFonts w:ascii="Garamond" w:hAnsi="Garamond" w:cs="Times New Roman"/>
        </w:rPr>
        <w:lastRenderedPageBreak/>
        <w:t xml:space="preserve">Research across healthcare shows that claim denials are strongly tied to documentation problems, and structured tools such as checklists improve compliance, accuracy, and workflow reliability. While checklist use has been widely studied in medical and surgical contexts, its application in ABA is limited. Denials in ABA remain a major issue, creating both financial strain for providers and barriers to care for families relying on Medicaid. </w:t>
      </w:r>
    </w:p>
    <w:p w14:paraId="417A7F14" w14:textId="77777777" w:rsidR="00BD3DE6" w:rsidRPr="00990078" w:rsidRDefault="00BD3DE6" w:rsidP="00F00586">
      <w:pPr>
        <w:rPr>
          <w:rFonts w:ascii="Garamond" w:hAnsi="Garamond" w:cs="Times New Roman"/>
          <w:b/>
          <w:bCs/>
        </w:rPr>
      </w:pPr>
      <w:r w:rsidRPr="00990078">
        <w:rPr>
          <w:rFonts w:ascii="Garamond" w:hAnsi="Garamond" w:cs="Times New Roman"/>
          <w:b/>
          <w:bCs/>
        </w:rPr>
        <w:t xml:space="preserve">Assessment </w:t>
      </w:r>
    </w:p>
    <w:p w14:paraId="63752F6D" w14:textId="5BC0EAE3" w:rsidR="00BD3DE6" w:rsidRPr="00990078" w:rsidRDefault="00BD3DE6" w:rsidP="00BD3DE6">
      <w:pPr>
        <w:rPr>
          <w:rFonts w:ascii="Garamond" w:hAnsi="Garamond" w:cs="Times New Roman"/>
        </w:rPr>
      </w:pPr>
      <w:r w:rsidRPr="00990078">
        <w:rPr>
          <w:rFonts w:ascii="Garamond" w:hAnsi="Garamond" w:cs="Times New Roman"/>
        </w:rPr>
        <w:t xml:space="preserve">Findings from the literature and stakeholder feedback show that documentation errors and variability across providers are key triggers for denials. Medicaid patients face compounded barriers when claims are rejected, further limiting access to needed services. Evidence supports that standardized documentation processes reduce preventable denials and strengthen revenue integrity. </w:t>
      </w:r>
    </w:p>
    <w:p w14:paraId="21A9661B" w14:textId="77777777" w:rsidR="00BD3DE6" w:rsidRPr="00990078" w:rsidRDefault="00BD3DE6" w:rsidP="00F00586">
      <w:pPr>
        <w:rPr>
          <w:rFonts w:ascii="Garamond" w:hAnsi="Garamond" w:cs="Times New Roman"/>
          <w:b/>
          <w:bCs/>
        </w:rPr>
      </w:pPr>
      <w:r w:rsidRPr="00990078">
        <w:rPr>
          <w:rFonts w:ascii="Garamond" w:hAnsi="Garamond" w:cs="Times New Roman"/>
          <w:b/>
          <w:bCs/>
        </w:rPr>
        <w:t xml:space="preserve">Recommendation: </w:t>
      </w:r>
    </w:p>
    <w:p w14:paraId="7ABED6CC" w14:textId="77777777" w:rsidR="00BD3DE6" w:rsidRPr="00990078" w:rsidRDefault="00BD3DE6" w:rsidP="00F00586">
      <w:pPr>
        <w:rPr>
          <w:rFonts w:ascii="Garamond" w:hAnsi="Garamond" w:cs="Times New Roman"/>
        </w:rPr>
      </w:pPr>
      <w:r w:rsidRPr="00990078">
        <w:rPr>
          <w:rFonts w:ascii="Garamond" w:hAnsi="Garamond" w:cs="Times New Roman"/>
        </w:rPr>
        <w:t xml:space="preserve">This project proposes the implementation of a standardized note conversion checklist for ABA providers delivering Medicaid-funded services in Indiana. The checklist will guide staff in creating payer-compliant session notes, reduce variability in documentation, and address common denial triggers. Anticipated outcomes include fewer claim denials, improved documentation quality, and greater financial sustainability, ultimately enhancing access to ABA services for families. </w:t>
      </w:r>
    </w:p>
    <w:p w14:paraId="0CD34F04" w14:textId="77777777" w:rsidR="00F00586" w:rsidRPr="00990078" w:rsidRDefault="00F00586">
      <w:pPr>
        <w:rPr>
          <w:rFonts w:ascii="Garamond" w:hAnsi="Garamond"/>
          <w:b/>
          <w:bCs/>
        </w:rPr>
      </w:pPr>
      <w:r w:rsidRPr="00990078">
        <w:rPr>
          <w:rFonts w:ascii="Garamond" w:hAnsi="Garamond"/>
          <w:b/>
          <w:bCs/>
        </w:rPr>
        <w:br w:type="page"/>
      </w:r>
    </w:p>
    <w:p w14:paraId="460DC0CE" w14:textId="6FF7B478" w:rsidR="00BD3DE6" w:rsidRPr="00990078" w:rsidRDefault="00BD3DE6" w:rsidP="00F04DDE">
      <w:pPr>
        <w:pStyle w:val="Heading1"/>
        <w:jc w:val="center"/>
        <w:rPr>
          <w:rFonts w:ascii="Garamond" w:hAnsi="Garamond" w:cs="Times New Roman"/>
          <w:b/>
          <w:bCs/>
          <w:color w:val="auto"/>
          <w:sz w:val="24"/>
          <w:szCs w:val="24"/>
        </w:rPr>
      </w:pPr>
      <w:bookmarkStart w:id="47" w:name="_Toc228175333"/>
      <w:r w:rsidRPr="00990078">
        <w:rPr>
          <w:rFonts w:ascii="Garamond" w:hAnsi="Garamond" w:cs="Times New Roman"/>
          <w:b/>
          <w:bCs/>
          <w:color w:val="auto"/>
          <w:sz w:val="24"/>
          <w:szCs w:val="24"/>
        </w:rPr>
        <w:lastRenderedPageBreak/>
        <w:t>Appendix B</w:t>
      </w:r>
      <w:bookmarkEnd w:id="47"/>
    </w:p>
    <w:p w14:paraId="18AA838B" w14:textId="77777777" w:rsidR="00BD3DE6" w:rsidRPr="00990078" w:rsidRDefault="00BD3DE6" w:rsidP="00F00586">
      <w:pPr>
        <w:jc w:val="center"/>
        <w:rPr>
          <w:rFonts w:ascii="Garamond" w:hAnsi="Garamond" w:cs="Times New Roman"/>
          <w:b/>
          <w:bCs/>
        </w:rPr>
      </w:pPr>
      <w:r w:rsidRPr="00990078">
        <w:rPr>
          <w:rFonts w:ascii="Garamond" w:hAnsi="Garamond" w:cs="Times New Roman"/>
          <w:b/>
          <w:bCs/>
        </w:rPr>
        <w:t>Logic Model</w:t>
      </w:r>
    </w:p>
    <w:tbl>
      <w:tblPr>
        <w:tblW w:w="0" w:type="auto"/>
        <w:tblCellSpacing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5" w:type="dxa"/>
          <w:left w:w="15" w:type="dxa"/>
          <w:bottom w:w="15" w:type="dxa"/>
          <w:right w:w="15" w:type="dxa"/>
        </w:tblCellMar>
        <w:tblLook w:val="04A0" w:firstRow="1" w:lastRow="0" w:firstColumn="1" w:lastColumn="0" w:noHBand="0" w:noVBand="1"/>
      </w:tblPr>
      <w:tblGrid>
        <w:gridCol w:w="1875"/>
        <w:gridCol w:w="7455"/>
      </w:tblGrid>
      <w:tr w:rsidR="00BD3DE6" w:rsidRPr="00990078" w14:paraId="70992C61" w14:textId="77777777" w:rsidTr="00F00586">
        <w:trPr>
          <w:tblHeader/>
          <w:tblCellSpacing w:w="15" w:type="dxa"/>
        </w:trPr>
        <w:tc>
          <w:tcPr>
            <w:tcW w:w="1830" w:type="dxa"/>
            <w:vAlign w:val="center"/>
            <w:hideMark/>
          </w:tcPr>
          <w:p w14:paraId="608523C4" w14:textId="77777777" w:rsidR="00BD3DE6" w:rsidRPr="00990078" w:rsidRDefault="00BD3DE6" w:rsidP="00BD3DE6">
            <w:pPr>
              <w:rPr>
                <w:rFonts w:ascii="Garamond" w:hAnsi="Garamond"/>
                <w:b/>
                <w:bCs/>
              </w:rPr>
            </w:pPr>
            <w:r w:rsidRPr="00990078">
              <w:rPr>
                <w:rFonts w:ascii="Garamond" w:hAnsi="Garamond"/>
                <w:b/>
                <w:bCs/>
              </w:rPr>
              <w:t>Logic Model Component</w:t>
            </w:r>
          </w:p>
        </w:tc>
        <w:tc>
          <w:tcPr>
            <w:tcW w:w="7410" w:type="dxa"/>
            <w:vAlign w:val="center"/>
            <w:hideMark/>
          </w:tcPr>
          <w:p w14:paraId="6EB9FFD9" w14:textId="77777777" w:rsidR="00BD3DE6" w:rsidRPr="00990078" w:rsidRDefault="00BD3DE6" w:rsidP="00BD3DE6">
            <w:pPr>
              <w:rPr>
                <w:rFonts w:ascii="Garamond" w:hAnsi="Garamond"/>
                <w:b/>
                <w:bCs/>
              </w:rPr>
            </w:pPr>
            <w:r w:rsidRPr="00990078">
              <w:rPr>
                <w:rFonts w:ascii="Garamond" w:hAnsi="Garamond"/>
                <w:b/>
                <w:bCs/>
              </w:rPr>
              <w:t>Project-Specific Content</w:t>
            </w:r>
          </w:p>
        </w:tc>
      </w:tr>
      <w:tr w:rsidR="00BD3DE6" w:rsidRPr="00990078" w14:paraId="4970814C" w14:textId="77777777" w:rsidTr="00F00586">
        <w:trPr>
          <w:tblCellSpacing w:w="15" w:type="dxa"/>
        </w:trPr>
        <w:tc>
          <w:tcPr>
            <w:tcW w:w="1830" w:type="dxa"/>
            <w:vAlign w:val="center"/>
            <w:hideMark/>
          </w:tcPr>
          <w:p w14:paraId="3F486B84" w14:textId="77777777" w:rsidR="00BD3DE6" w:rsidRPr="00990078" w:rsidRDefault="00BD3DE6" w:rsidP="00BD3DE6">
            <w:pPr>
              <w:rPr>
                <w:rFonts w:ascii="Garamond" w:hAnsi="Garamond"/>
              </w:rPr>
            </w:pPr>
            <w:r w:rsidRPr="00990078">
              <w:rPr>
                <w:rFonts w:ascii="Garamond" w:hAnsi="Garamond"/>
                <w:b/>
                <w:bCs/>
              </w:rPr>
              <w:t>Problem / Need</w:t>
            </w:r>
          </w:p>
        </w:tc>
        <w:tc>
          <w:tcPr>
            <w:tcW w:w="7410" w:type="dxa"/>
            <w:vAlign w:val="center"/>
            <w:hideMark/>
          </w:tcPr>
          <w:p w14:paraId="58517E8B" w14:textId="77777777" w:rsidR="00BD3DE6" w:rsidRPr="00990078" w:rsidRDefault="00BD3DE6" w:rsidP="00BD3DE6">
            <w:pPr>
              <w:rPr>
                <w:rFonts w:ascii="Garamond" w:hAnsi="Garamond"/>
              </w:rPr>
            </w:pPr>
            <w:r w:rsidRPr="00990078">
              <w:rPr>
                <w:rFonts w:ascii="Garamond" w:hAnsi="Garamond"/>
              </w:rPr>
              <w:t>Medicaid claim denials related to incomplete or inconsistent documentation create administrative burden, delayed reimbursement, financial inefficiency, and potential disruption to continuity of care within Applied Behavior Analysis (ABA) services.</w:t>
            </w:r>
          </w:p>
        </w:tc>
      </w:tr>
      <w:tr w:rsidR="00BD3DE6" w:rsidRPr="00990078" w14:paraId="45B6E482" w14:textId="77777777" w:rsidTr="00F00586">
        <w:trPr>
          <w:tblCellSpacing w:w="15" w:type="dxa"/>
        </w:trPr>
        <w:tc>
          <w:tcPr>
            <w:tcW w:w="1830" w:type="dxa"/>
            <w:vAlign w:val="center"/>
            <w:hideMark/>
          </w:tcPr>
          <w:p w14:paraId="7C1D228A" w14:textId="77777777" w:rsidR="00BD3DE6" w:rsidRPr="00990078" w:rsidRDefault="00BD3DE6" w:rsidP="00BD3DE6">
            <w:pPr>
              <w:rPr>
                <w:rFonts w:ascii="Garamond" w:hAnsi="Garamond"/>
              </w:rPr>
            </w:pPr>
            <w:r w:rsidRPr="00990078">
              <w:rPr>
                <w:rFonts w:ascii="Garamond" w:hAnsi="Garamond"/>
                <w:b/>
                <w:bCs/>
              </w:rPr>
              <w:t>Goal / Aim</w:t>
            </w:r>
          </w:p>
        </w:tc>
        <w:tc>
          <w:tcPr>
            <w:tcW w:w="7410" w:type="dxa"/>
            <w:vAlign w:val="center"/>
            <w:hideMark/>
          </w:tcPr>
          <w:p w14:paraId="04C2F17C" w14:textId="77777777" w:rsidR="00BD3DE6" w:rsidRPr="00990078" w:rsidRDefault="00BD3DE6" w:rsidP="00BD3DE6">
            <w:pPr>
              <w:rPr>
                <w:rFonts w:ascii="Garamond" w:hAnsi="Garamond"/>
              </w:rPr>
            </w:pPr>
            <w:r w:rsidRPr="00990078">
              <w:rPr>
                <w:rFonts w:ascii="Garamond" w:hAnsi="Garamond"/>
              </w:rPr>
              <w:t>To improve Medicaid documentation compliance and reduce documentation-related claim denials through implementation of a standardized note conversion checklist and embedded electronic health record (EHR) supports.</w:t>
            </w:r>
          </w:p>
        </w:tc>
      </w:tr>
      <w:tr w:rsidR="00BD3DE6" w:rsidRPr="00990078" w14:paraId="62A0BFC5" w14:textId="77777777" w:rsidTr="00F00586">
        <w:trPr>
          <w:tblCellSpacing w:w="15" w:type="dxa"/>
        </w:trPr>
        <w:tc>
          <w:tcPr>
            <w:tcW w:w="1830" w:type="dxa"/>
            <w:vAlign w:val="center"/>
            <w:hideMark/>
          </w:tcPr>
          <w:p w14:paraId="14692D7D" w14:textId="77777777" w:rsidR="00BD3DE6" w:rsidRPr="00990078" w:rsidRDefault="00BD3DE6" w:rsidP="00BD3DE6">
            <w:pPr>
              <w:rPr>
                <w:rFonts w:ascii="Garamond" w:hAnsi="Garamond"/>
              </w:rPr>
            </w:pPr>
            <w:r w:rsidRPr="00990078">
              <w:rPr>
                <w:rFonts w:ascii="Garamond" w:hAnsi="Garamond"/>
                <w:b/>
                <w:bCs/>
              </w:rPr>
              <w:t>Inputs / Resources</w:t>
            </w:r>
          </w:p>
        </w:tc>
        <w:tc>
          <w:tcPr>
            <w:tcW w:w="7410" w:type="dxa"/>
            <w:vAlign w:val="center"/>
            <w:hideMark/>
          </w:tcPr>
          <w:p w14:paraId="2202DB38" w14:textId="77777777" w:rsidR="00BD3DE6" w:rsidRPr="00990078" w:rsidRDefault="00BD3DE6" w:rsidP="00BD3DE6">
            <w:pPr>
              <w:rPr>
                <w:rFonts w:ascii="Garamond" w:hAnsi="Garamond"/>
              </w:rPr>
            </w:pPr>
            <w:r w:rsidRPr="00990078">
              <w:rPr>
                <w:rFonts w:ascii="Garamond" w:hAnsi="Garamond"/>
              </w:rPr>
              <w:t xml:space="preserve">Clinical Director; Quality Assurance (QA) team; supervising </w:t>
            </w:r>
            <w:proofErr w:type="gramStart"/>
            <w:r w:rsidRPr="00990078">
              <w:rPr>
                <w:rFonts w:ascii="Garamond" w:hAnsi="Garamond"/>
              </w:rPr>
              <w:t>Board Certified</w:t>
            </w:r>
            <w:proofErr w:type="gramEnd"/>
            <w:r w:rsidRPr="00990078">
              <w:rPr>
                <w:rFonts w:ascii="Garamond" w:hAnsi="Garamond"/>
              </w:rPr>
              <w:t xml:space="preserve"> Behavior Analysts (BCBAs); Registered Behavior Technicians (RBTs); Board Certified Assistant Behavior Analysts (</w:t>
            </w:r>
            <w:proofErr w:type="spellStart"/>
            <w:r w:rsidRPr="00990078">
              <w:rPr>
                <w:rFonts w:ascii="Garamond" w:hAnsi="Garamond"/>
              </w:rPr>
              <w:t>BCaBAs</w:t>
            </w:r>
            <w:proofErr w:type="spellEnd"/>
            <w:r w:rsidRPr="00990078">
              <w:rPr>
                <w:rFonts w:ascii="Garamond" w:hAnsi="Garamond"/>
              </w:rPr>
              <w:t xml:space="preserve">); Billing Specialist; </w:t>
            </w:r>
            <w:proofErr w:type="spellStart"/>
            <w:r w:rsidRPr="00990078">
              <w:rPr>
                <w:rFonts w:ascii="Garamond" w:hAnsi="Garamond"/>
              </w:rPr>
              <w:t>CentralReach</w:t>
            </w:r>
            <w:proofErr w:type="spellEnd"/>
            <w:r w:rsidRPr="00990078">
              <w:rPr>
                <w:rFonts w:ascii="Garamond" w:hAnsi="Garamond"/>
              </w:rPr>
              <w:t xml:space="preserve"> EHR system; standardized note conversion checklist; Documentation Compliance Audit Tool (DCAT); staff training materials; audit and feedback procedures; organizational leadership support.</w:t>
            </w:r>
          </w:p>
        </w:tc>
      </w:tr>
      <w:tr w:rsidR="00BD3DE6" w:rsidRPr="00990078" w14:paraId="66FEE139" w14:textId="77777777" w:rsidTr="00F00586">
        <w:trPr>
          <w:tblCellSpacing w:w="15" w:type="dxa"/>
        </w:trPr>
        <w:tc>
          <w:tcPr>
            <w:tcW w:w="1830" w:type="dxa"/>
            <w:vAlign w:val="center"/>
            <w:hideMark/>
          </w:tcPr>
          <w:p w14:paraId="4BE9CCE5" w14:textId="77777777" w:rsidR="00BD3DE6" w:rsidRPr="00990078" w:rsidRDefault="00BD3DE6" w:rsidP="00BD3DE6">
            <w:pPr>
              <w:rPr>
                <w:rFonts w:ascii="Garamond" w:hAnsi="Garamond"/>
              </w:rPr>
            </w:pPr>
            <w:r w:rsidRPr="00990078">
              <w:rPr>
                <w:rFonts w:ascii="Garamond" w:hAnsi="Garamond"/>
                <w:b/>
                <w:bCs/>
              </w:rPr>
              <w:t>Key Stakeholders</w:t>
            </w:r>
          </w:p>
        </w:tc>
        <w:tc>
          <w:tcPr>
            <w:tcW w:w="7410" w:type="dxa"/>
            <w:vAlign w:val="center"/>
            <w:hideMark/>
          </w:tcPr>
          <w:p w14:paraId="63664F58" w14:textId="77777777" w:rsidR="00BD3DE6" w:rsidRPr="00990078" w:rsidRDefault="00BD3DE6" w:rsidP="00BD3DE6">
            <w:pPr>
              <w:rPr>
                <w:rFonts w:ascii="Garamond" w:hAnsi="Garamond"/>
              </w:rPr>
            </w:pPr>
            <w:r w:rsidRPr="00990078">
              <w:rPr>
                <w:rFonts w:ascii="Garamond" w:hAnsi="Garamond"/>
              </w:rPr>
              <w:t xml:space="preserve">RBTs, </w:t>
            </w:r>
            <w:proofErr w:type="spellStart"/>
            <w:r w:rsidRPr="00990078">
              <w:rPr>
                <w:rFonts w:ascii="Garamond" w:hAnsi="Garamond"/>
              </w:rPr>
              <w:t>BCaBAs</w:t>
            </w:r>
            <w:proofErr w:type="spellEnd"/>
            <w:r w:rsidRPr="00990078">
              <w:rPr>
                <w:rFonts w:ascii="Garamond" w:hAnsi="Garamond"/>
              </w:rPr>
              <w:t>, BCBAs, Clinical Director, QA team, Billing Specialist, administrative leadership, Medicaid-enrolled clients and families.</w:t>
            </w:r>
          </w:p>
        </w:tc>
      </w:tr>
      <w:tr w:rsidR="00BD3DE6" w:rsidRPr="00990078" w14:paraId="7225E62F" w14:textId="77777777" w:rsidTr="00F00586">
        <w:trPr>
          <w:tblCellSpacing w:w="15" w:type="dxa"/>
        </w:trPr>
        <w:tc>
          <w:tcPr>
            <w:tcW w:w="1830" w:type="dxa"/>
            <w:vAlign w:val="center"/>
            <w:hideMark/>
          </w:tcPr>
          <w:p w14:paraId="5B132404" w14:textId="77777777" w:rsidR="00BD3DE6" w:rsidRPr="00990078" w:rsidRDefault="00BD3DE6" w:rsidP="00BD3DE6">
            <w:pPr>
              <w:rPr>
                <w:rFonts w:ascii="Garamond" w:hAnsi="Garamond"/>
              </w:rPr>
            </w:pPr>
            <w:r w:rsidRPr="00990078">
              <w:rPr>
                <w:rFonts w:ascii="Garamond" w:hAnsi="Garamond"/>
                <w:b/>
                <w:bCs/>
              </w:rPr>
              <w:t>Activities / Implementation Strategies</w:t>
            </w:r>
          </w:p>
        </w:tc>
        <w:tc>
          <w:tcPr>
            <w:tcW w:w="7410" w:type="dxa"/>
            <w:vAlign w:val="center"/>
            <w:hideMark/>
          </w:tcPr>
          <w:p w14:paraId="0859A544" w14:textId="77777777" w:rsidR="00BD3DE6" w:rsidRPr="00990078" w:rsidRDefault="00BD3DE6" w:rsidP="00BD3DE6">
            <w:pPr>
              <w:rPr>
                <w:rFonts w:ascii="Garamond" w:hAnsi="Garamond"/>
              </w:rPr>
            </w:pPr>
            <w:r w:rsidRPr="00990078">
              <w:rPr>
                <w:rFonts w:ascii="Garamond" w:hAnsi="Garamond"/>
              </w:rPr>
              <w:t xml:space="preserve">Conduct baseline documentation audits; finalize standardized note conversion checklist; develop and integrate embedded note conversion template within </w:t>
            </w:r>
            <w:proofErr w:type="spellStart"/>
            <w:r w:rsidRPr="00990078">
              <w:rPr>
                <w:rFonts w:ascii="Garamond" w:hAnsi="Garamond"/>
              </w:rPr>
              <w:t>CentralReach</w:t>
            </w:r>
            <w:proofErr w:type="spellEnd"/>
            <w:r w:rsidRPr="00990078">
              <w:rPr>
                <w:rFonts w:ascii="Garamond" w:hAnsi="Garamond"/>
              </w:rPr>
              <w:t>; provide staff training using behavior skills training (BST); conduct pilot implementation; collect staff usability feedback; perform monthly documentation audits; provide audit-and-feedback to staff and supervisors; revise workflow supports as needed.</w:t>
            </w:r>
          </w:p>
        </w:tc>
      </w:tr>
      <w:tr w:rsidR="00BD3DE6" w:rsidRPr="00990078" w14:paraId="690E5365" w14:textId="77777777" w:rsidTr="00F00586">
        <w:trPr>
          <w:tblCellSpacing w:w="15" w:type="dxa"/>
        </w:trPr>
        <w:tc>
          <w:tcPr>
            <w:tcW w:w="1830" w:type="dxa"/>
            <w:vAlign w:val="center"/>
            <w:hideMark/>
          </w:tcPr>
          <w:p w14:paraId="32FC9A07" w14:textId="77777777" w:rsidR="00BD3DE6" w:rsidRPr="00990078" w:rsidRDefault="00BD3DE6" w:rsidP="00BD3DE6">
            <w:pPr>
              <w:rPr>
                <w:rFonts w:ascii="Garamond" w:hAnsi="Garamond"/>
              </w:rPr>
            </w:pPr>
            <w:r w:rsidRPr="00990078">
              <w:rPr>
                <w:rFonts w:ascii="Garamond" w:hAnsi="Garamond"/>
                <w:b/>
                <w:bCs/>
              </w:rPr>
              <w:t>Outputs</w:t>
            </w:r>
          </w:p>
        </w:tc>
        <w:tc>
          <w:tcPr>
            <w:tcW w:w="7410" w:type="dxa"/>
            <w:vAlign w:val="center"/>
            <w:hideMark/>
          </w:tcPr>
          <w:p w14:paraId="1FADC940" w14:textId="77777777" w:rsidR="00BD3DE6" w:rsidRPr="00990078" w:rsidRDefault="00BD3DE6" w:rsidP="00BD3DE6">
            <w:pPr>
              <w:rPr>
                <w:rFonts w:ascii="Garamond" w:hAnsi="Garamond"/>
              </w:rPr>
            </w:pPr>
            <w:r w:rsidRPr="00990078">
              <w:rPr>
                <w:rFonts w:ascii="Garamond" w:hAnsi="Garamond"/>
              </w:rPr>
              <w:t>Staff trained on checklist use; checklist and note template implemented; baseline and monthly audits completed; staff feedback collected; documentation compliance reports generated; implementation refinements completed.</w:t>
            </w:r>
          </w:p>
        </w:tc>
      </w:tr>
      <w:tr w:rsidR="00BD3DE6" w:rsidRPr="00990078" w14:paraId="21A7742C" w14:textId="77777777" w:rsidTr="00F00586">
        <w:trPr>
          <w:tblCellSpacing w:w="15" w:type="dxa"/>
        </w:trPr>
        <w:tc>
          <w:tcPr>
            <w:tcW w:w="1830" w:type="dxa"/>
            <w:vAlign w:val="center"/>
            <w:hideMark/>
          </w:tcPr>
          <w:p w14:paraId="65A23DE7" w14:textId="77777777" w:rsidR="00BD3DE6" w:rsidRPr="00990078" w:rsidRDefault="00BD3DE6" w:rsidP="00BD3DE6">
            <w:pPr>
              <w:rPr>
                <w:rFonts w:ascii="Garamond" w:hAnsi="Garamond"/>
              </w:rPr>
            </w:pPr>
            <w:r w:rsidRPr="00990078">
              <w:rPr>
                <w:rFonts w:ascii="Garamond" w:hAnsi="Garamond"/>
                <w:b/>
                <w:bCs/>
              </w:rPr>
              <w:t>Short-Term Outcomes</w:t>
            </w:r>
          </w:p>
        </w:tc>
        <w:tc>
          <w:tcPr>
            <w:tcW w:w="7410" w:type="dxa"/>
            <w:vAlign w:val="center"/>
            <w:hideMark/>
          </w:tcPr>
          <w:p w14:paraId="1C2DBC8F" w14:textId="77777777" w:rsidR="00BD3DE6" w:rsidRPr="00990078" w:rsidRDefault="00BD3DE6" w:rsidP="00BD3DE6">
            <w:pPr>
              <w:rPr>
                <w:rFonts w:ascii="Garamond" w:hAnsi="Garamond"/>
              </w:rPr>
            </w:pPr>
            <w:r w:rsidRPr="00990078">
              <w:rPr>
                <w:rFonts w:ascii="Garamond" w:hAnsi="Garamond"/>
              </w:rPr>
              <w:t>Increased staff awareness of Medicaid documentation requirements; improved consistency in note conversion practices; improved adherence to required documentation elements; increased staff confidence in documentation completion.</w:t>
            </w:r>
          </w:p>
        </w:tc>
      </w:tr>
      <w:tr w:rsidR="00BD3DE6" w:rsidRPr="00990078" w14:paraId="419AB8FA" w14:textId="77777777" w:rsidTr="00F00586">
        <w:trPr>
          <w:tblCellSpacing w:w="15" w:type="dxa"/>
        </w:trPr>
        <w:tc>
          <w:tcPr>
            <w:tcW w:w="1830" w:type="dxa"/>
            <w:vAlign w:val="center"/>
            <w:hideMark/>
          </w:tcPr>
          <w:p w14:paraId="302074A2" w14:textId="77777777" w:rsidR="00BD3DE6" w:rsidRPr="00990078" w:rsidRDefault="00BD3DE6" w:rsidP="00BD3DE6">
            <w:pPr>
              <w:rPr>
                <w:rFonts w:ascii="Garamond" w:hAnsi="Garamond"/>
              </w:rPr>
            </w:pPr>
            <w:r w:rsidRPr="00990078">
              <w:rPr>
                <w:rFonts w:ascii="Garamond" w:hAnsi="Garamond"/>
                <w:b/>
                <w:bCs/>
              </w:rPr>
              <w:lastRenderedPageBreak/>
              <w:t>Intermediate Outcomes</w:t>
            </w:r>
          </w:p>
        </w:tc>
        <w:tc>
          <w:tcPr>
            <w:tcW w:w="7410" w:type="dxa"/>
            <w:vAlign w:val="center"/>
            <w:hideMark/>
          </w:tcPr>
          <w:p w14:paraId="68272A9D" w14:textId="77777777" w:rsidR="00BD3DE6" w:rsidRPr="00990078" w:rsidRDefault="00BD3DE6" w:rsidP="00BD3DE6">
            <w:pPr>
              <w:rPr>
                <w:rFonts w:ascii="Garamond" w:hAnsi="Garamond"/>
              </w:rPr>
            </w:pPr>
            <w:r w:rsidRPr="00990078">
              <w:rPr>
                <w:rFonts w:ascii="Garamond" w:hAnsi="Garamond"/>
              </w:rPr>
              <w:t>Improved documentation compliance scores on the DCAT; reduced variability in documentation quality across providers and sites; increased fidelity to the standardized documentation process; reduced number of documentation-related billing errors.</w:t>
            </w:r>
          </w:p>
        </w:tc>
      </w:tr>
      <w:tr w:rsidR="00BD3DE6" w:rsidRPr="00990078" w14:paraId="7901D5CA" w14:textId="77777777" w:rsidTr="00F00586">
        <w:trPr>
          <w:tblCellSpacing w:w="15" w:type="dxa"/>
        </w:trPr>
        <w:tc>
          <w:tcPr>
            <w:tcW w:w="1830" w:type="dxa"/>
            <w:vAlign w:val="center"/>
            <w:hideMark/>
          </w:tcPr>
          <w:p w14:paraId="67B736E5" w14:textId="77777777" w:rsidR="00BD3DE6" w:rsidRPr="00990078" w:rsidRDefault="00BD3DE6" w:rsidP="00BD3DE6">
            <w:pPr>
              <w:rPr>
                <w:rFonts w:ascii="Garamond" w:hAnsi="Garamond"/>
              </w:rPr>
            </w:pPr>
            <w:r w:rsidRPr="00990078">
              <w:rPr>
                <w:rFonts w:ascii="Garamond" w:hAnsi="Garamond"/>
                <w:b/>
                <w:bCs/>
              </w:rPr>
              <w:t>Long-Term Outcomes</w:t>
            </w:r>
          </w:p>
        </w:tc>
        <w:tc>
          <w:tcPr>
            <w:tcW w:w="7410" w:type="dxa"/>
            <w:vAlign w:val="center"/>
            <w:hideMark/>
          </w:tcPr>
          <w:p w14:paraId="7AC1D47E" w14:textId="77777777" w:rsidR="00BD3DE6" w:rsidRPr="00990078" w:rsidRDefault="00BD3DE6" w:rsidP="00BD3DE6">
            <w:pPr>
              <w:rPr>
                <w:rFonts w:ascii="Garamond" w:hAnsi="Garamond"/>
              </w:rPr>
            </w:pPr>
            <w:r w:rsidRPr="00990078">
              <w:rPr>
                <w:rFonts w:ascii="Garamond" w:hAnsi="Garamond"/>
              </w:rPr>
              <w:t>Reduced Medicaid claim denial rates related to documentation errors; improved reimbursement reliability; improved operational efficiency; strengthened documentation quality across the organization; improved sustainability of compliant documentation practices.</w:t>
            </w:r>
          </w:p>
        </w:tc>
      </w:tr>
      <w:tr w:rsidR="00BD3DE6" w:rsidRPr="00990078" w14:paraId="19D5A773" w14:textId="77777777" w:rsidTr="00F00586">
        <w:trPr>
          <w:tblCellSpacing w:w="15" w:type="dxa"/>
        </w:trPr>
        <w:tc>
          <w:tcPr>
            <w:tcW w:w="1830" w:type="dxa"/>
            <w:vAlign w:val="center"/>
            <w:hideMark/>
          </w:tcPr>
          <w:p w14:paraId="56739580" w14:textId="77777777" w:rsidR="00BD3DE6" w:rsidRPr="00990078" w:rsidRDefault="00BD3DE6" w:rsidP="00BD3DE6">
            <w:pPr>
              <w:rPr>
                <w:rFonts w:ascii="Garamond" w:hAnsi="Garamond"/>
              </w:rPr>
            </w:pPr>
            <w:r w:rsidRPr="00990078">
              <w:rPr>
                <w:rFonts w:ascii="Garamond" w:hAnsi="Garamond"/>
                <w:b/>
                <w:bCs/>
              </w:rPr>
              <w:t>Implementation Outcomes</w:t>
            </w:r>
          </w:p>
        </w:tc>
        <w:tc>
          <w:tcPr>
            <w:tcW w:w="7410" w:type="dxa"/>
            <w:vAlign w:val="center"/>
            <w:hideMark/>
          </w:tcPr>
          <w:p w14:paraId="2B3B37BA" w14:textId="77777777" w:rsidR="00BD3DE6" w:rsidRPr="00990078" w:rsidRDefault="00BD3DE6" w:rsidP="00BD3DE6">
            <w:pPr>
              <w:rPr>
                <w:rFonts w:ascii="Garamond" w:hAnsi="Garamond"/>
              </w:rPr>
            </w:pPr>
            <w:r w:rsidRPr="00990078">
              <w:rPr>
                <w:rFonts w:ascii="Garamond" w:hAnsi="Garamond"/>
              </w:rPr>
              <w:t>Acceptability of the checklist; feasibility of integrating the checklist into routine workflow; adoption by staff; fidelity of checklist use; sustainability over time.</w:t>
            </w:r>
          </w:p>
        </w:tc>
      </w:tr>
      <w:tr w:rsidR="00BD3DE6" w:rsidRPr="00990078" w14:paraId="30449693" w14:textId="77777777" w:rsidTr="00F00586">
        <w:trPr>
          <w:tblCellSpacing w:w="15" w:type="dxa"/>
        </w:trPr>
        <w:tc>
          <w:tcPr>
            <w:tcW w:w="1830" w:type="dxa"/>
            <w:vAlign w:val="center"/>
            <w:hideMark/>
          </w:tcPr>
          <w:p w14:paraId="3485A831" w14:textId="77777777" w:rsidR="00BD3DE6" w:rsidRPr="00990078" w:rsidRDefault="00BD3DE6" w:rsidP="00BD3DE6">
            <w:pPr>
              <w:rPr>
                <w:rFonts w:ascii="Garamond" w:hAnsi="Garamond"/>
              </w:rPr>
            </w:pPr>
            <w:r w:rsidRPr="00990078">
              <w:rPr>
                <w:rFonts w:ascii="Garamond" w:hAnsi="Garamond"/>
                <w:b/>
                <w:bCs/>
              </w:rPr>
              <w:t>Evaluation Measures</w:t>
            </w:r>
          </w:p>
        </w:tc>
        <w:tc>
          <w:tcPr>
            <w:tcW w:w="7410" w:type="dxa"/>
            <w:vAlign w:val="center"/>
            <w:hideMark/>
          </w:tcPr>
          <w:p w14:paraId="0692293C" w14:textId="77777777" w:rsidR="00BD3DE6" w:rsidRPr="00990078" w:rsidRDefault="00BD3DE6" w:rsidP="00BD3DE6">
            <w:pPr>
              <w:rPr>
                <w:rFonts w:ascii="Garamond" w:hAnsi="Garamond"/>
              </w:rPr>
            </w:pPr>
            <w:r w:rsidRPr="00990078">
              <w:rPr>
                <w:rFonts w:ascii="Garamond" w:hAnsi="Garamond"/>
              </w:rPr>
              <w:t>Documentation Compliance Audit Tool (DCAT) scores; claim denial rates related to documentation errors; monthly QA audit findings; staff usability and satisfaction feedback; checklist adherence rates.</w:t>
            </w:r>
          </w:p>
        </w:tc>
      </w:tr>
      <w:tr w:rsidR="00BD3DE6" w:rsidRPr="00990078" w14:paraId="0DCE1BC8" w14:textId="77777777" w:rsidTr="00F00586">
        <w:trPr>
          <w:tblCellSpacing w:w="15" w:type="dxa"/>
        </w:trPr>
        <w:tc>
          <w:tcPr>
            <w:tcW w:w="1830" w:type="dxa"/>
            <w:vAlign w:val="center"/>
            <w:hideMark/>
          </w:tcPr>
          <w:p w14:paraId="52514C95" w14:textId="77777777" w:rsidR="00BD3DE6" w:rsidRPr="00990078" w:rsidRDefault="00BD3DE6" w:rsidP="00BD3DE6">
            <w:pPr>
              <w:rPr>
                <w:rFonts w:ascii="Garamond" w:hAnsi="Garamond"/>
              </w:rPr>
            </w:pPr>
            <w:r w:rsidRPr="00990078">
              <w:rPr>
                <w:rFonts w:ascii="Garamond" w:hAnsi="Garamond"/>
                <w:b/>
                <w:bCs/>
              </w:rPr>
              <w:t>Assumptions</w:t>
            </w:r>
          </w:p>
        </w:tc>
        <w:tc>
          <w:tcPr>
            <w:tcW w:w="7410" w:type="dxa"/>
            <w:vAlign w:val="center"/>
            <w:hideMark/>
          </w:tcPr>
          <w:p w14:paraId="13F3DF67" w14:textId="77777777" w:rsidR="00BD3DE6" w:rsidRPr="00990078" w:rsidRDefault="00BD3DE6" w:rsidP="00BD3DE6">
            <w:pPr>
              <w:rPr>
                <w:rFonts w:ascii="Garamond" w:hAnsi="Garamond"/>
              </w:rPr>
            </w:pPr>
            <w:r w:rsidRPr="00990078">
              <w:rPr>
                <w:rFonts w:ascii="Garamond" w:hAnsi="Garamond"/>
              </w:rPr>
              <w:t>Staff will participate in training and use the checklist as intended; the checklist will align with Medicaid documentation requirements; leadership will support implementation and follow-up; the EHR system will support workflow integration.</w:t>
            </w:r>
          </w:p>
        </w:tc>
      </w:tr>
      <w:tr w:rsidR="00BD3DE6" w:rsidRPr="00990078" w14:paraId="634F95B3" w14:textId="77777777" w:rsidTr="00F00586">
        <w:trPr>
          <w:tblCellSpacing w:w="15" w:type="dxa"/>
        </w:trPr>
        <w:tc>
          <w:tcPr>
            <w:tcW w:w="1830" w:type="dxa"/>
            <w:vAlign w:val="center"/>
            <w:hideMark/>
          </w:tcPr>
          <w:p w14:paraId="370C8553" w14:textId="77777777" w:rsidR="00BD3DE6" w:rsidRPr="00990078" w:rsidRDefault="00BD3DE6" w:rsidP="00BD3DE6">
            <w:pPr>
              <w:rPr>
                <w:rFonts w:ascii="Garamond" w:hAnsi="Garamond"/>
              </w:rPr>
            </w:pPr>
            <w:r w:rsidRPr="00990078">
              <w:rPr>
                <w:rFonts w:ascii="Garamond" w:hAnsi="Garamond"/>
                <w:b/>
                <w:bCs/>
              </w:rPr>
              <w:t>External Factors</w:t>
            </w:r>
          </w:p>
        </w:tc>
        <w:tc>
          <w:tcPr>
            <w:tcW w:w="7410" w:type="dxa"/>
            <w:vAlign w:val="center"/>
            <w:hideMark/>
          </w:tcPr>
          <w:p w14:paraId="7663876F" w14:textId="77777777" w:rsidR="00BD3DE6" w:rsidRPr="00990078" w:rsidRDefault="00BD3DE6" w:rsidP="00BD3DE6">
            <w:pPr>
              <w:rPr>
                <w:rFonts w:ascii="Garamond" w:hAnsi="Garamond"/>
              </w:rPr>
            </w:pPr>
            <w:r w:rsidRPr="00990078">
              <w:rPr>
                <w:rFonts w:ascii="Garamond" w:hAnsi="Garamond"/>
              </w:rPr>
              <w:t>Changes in Medicaid reimbursement policy; payer documentation requirement changes; staffing turnover; workload demands; competing organizational priorities; broader healthcare administrative pressures.</w:t>
            </w:r>
          </w:p>
        </w:tc>
      </w:tr>
    </w:tbl>
    <w:p w14:paraId="06434AC5" w14:textId="608D683C" w:rsidR="00BD3DE6" w:rsidRPr="00990078" w:rsidRDefault="00BD3DE6" w:rsidP="00F04DDE">
      <w:pPr>
        <w:pStyle w:val="Heading1"/>
        <w:jc w:val="center"/>
        <w:rPr>
          <w:rFonts w:ascii="Garamond" w:hAnsi="Garamond" w:cs="Times New Roman"/>
          <w:b/>
          <w:bCs/>
          <w:color w:val="auto"/>
          <w:sz w:val="24"/>
          <w:szCs w:val="24"/>
        </w:rPr>
      </w:pPr>
      <w:bookmarkStart w:id="48" w:name="_Toc228175334"/>
      <w:r w:rsidRPr="00990078">
        <w:rPr>
          <w:rFonts w:ascii="Garamond" w:hAnsi="Garamond" w:cs="Times New Roman"/>
          <w:b/>
          <w:bCs/>
          <w:color w:val="auto"/>
          <w:sz w:val="24"/>
          <w:szCs w:val="24"/>
        </w:rPr>
        <w:t>Appendix C</w:t>
      </w:r>
      <w:bookmarkEnd w:id="48"/>
    </w:p>
    <w:p w14:paraId="78A1264F" w14:textId="77777777" w:rsidR="00BD3DE6" w:rsidRPr="00990078" w:rsidRDefault="00BD3DE6" w:rsidP="00F00586">
      <w:pPr>
        <w:jc w:val="center"/>
        <w:rPr>
          <w:rFonts w:ascii="Garamond" w:hAnsi="Garamond" w:cs="Times New Roman"/>
          <w:b/>
          <w:bCs/>
        </w:rPr>
      </w:pPr>
      <w:r w:rsidRPr="00990078">
        <w:rPr>
          <w:rFonts w:ascii="Garamond" w:hAnsi="Garamond" w:cs="Times New Roman"/>
          <w:b/>
          <w:bCs/>
        </w:rPr>
        <w:t>Intervention and Implementation Plan and Timeline</w:t>
      </w:r>
    </w:p>
    <w:p w14:paraId="764C23D0" w14:textId="77777777" w:rsidR="00BD3DE6" w:rsidRPr="00990078" w:rsidRDefault="00BD3DE6" w:rsidP="00BD3DE6">
      <w:pPr>
        <w:rPr>
          <w:rFonts w:ascii="Garamond" w:hAnsi="Garamond" w:cs="Times New Roman"/>
        </w:rPr>
      </w:pPr>
    </w:p>
    <w:tbl>
      <w:tblPr>
        <w:tblStyle w:val="TableGrid"/>
        <w:tblW w:w="9805" w:type="dxa"/>
        <w:tblLook w:val="04A0" w:firstRow="1" w:lastRow="0" w:firstColumn="1" w:lastColumn="0" w:noHBand="0" w:noVBand="1"/>
      </w:tblPr>
      <w:tblGrid>
        <w:gridCol w:w="1872"/>
        <w:gridCol w:w="1381"/>
        <w:gridCol w:w="6552"/>
      </w:tblGrid>
      <w:tr w:rsidR="00BD3DE6" w:rsidRPr="00990078" w14:paraId="05140C33"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6206E263" w14:textId="77777777" w:rsidR="00BD3DE6" w:rsidRPr="00990078" w:rsidRDefault="00BD3DE6" w:rsidP="00D53CC6">
            <w:pPr>
              <w:rPr>
                <w:rFonts w:ascii="Garamond" w:hAnsi="Garamond" w:cs="Times New Roman"/>
                <w:b/>
                <w:bCs/>
                <w:sz w:val="24"/>
                <w:szCs w:val="24"/>
                <w:lang w:val="en-US"/>
              </w:rPr>
            </w:pPr>
            <w:r w:rsidRPr="00990078">
              <w:rPr>
                <w:rFonts w:ascii="Garamond" w:hAnsi="Garamond" w:cs="Times New Roman"/>
                <w:b/>
                <w:bCs/>
                <w:sz w:val="24"/>
                <w:szCs w:val="24"/>
                <w:lang w:val="en-US"/>
              </w:rPr>
              <w:t>Task</w:t>
            </w:r>
          </w:p>
        </w:tc>
        <w:tc>
          <w:tcPr>
            <w:tcW w:w="1381" w:type="dxa"/>
            <w:tcBorders>
              <w:top w:val="single" w:sz="4" w:space="0" w:color="auto"/>
              <w:left w:val="single" w:sz="4" w:space="0" w:color="auto"/>
              <w:bottom w:val="single" w:sz="4" w:space="0" w:color="auto"/>
              <w:right w:val="single" w:sz="4" w:space="0" w:color="auto"/>
            </w:tcBorders>
            <w:hideMark/>
          </w:tcPr>
          <w:p w14:paraId="3D27EBAC" w14:textId="77777777" w:rsidR="00BD3DE6" w:rsidRPr="00990078" w:rsidRDefault="00BD3DE6" w:rsidP="00D53CC6">
            <w:pPr>
              <w:rPr>
                <w:rFonts w:ascii="Garamond" w:hAnsi="Garamond" w:cs="Times New Roman"/>
                <w:b/>
                <w:bCs/>
                <w:sz w:val="24"/>
                <w:szCs w:val="24"/>
                <w:lang w:val="en-US"/>
              </w:rPr>
            </w:pPr>
            <w:r w:rsidRPr="00990078">
              <w:rPr>
                <w:rFonts w:ascii="Garamond" w:hAnsi="Garamond" w:cs="Times New Roman"/>
                <w:b/>
                <w:bCs/>
                <w:sz w:val="24"/>
                <w:szCs w:val="24"/>
                <w:lang w:val="en-US"/>
              </w:rPr>
              <w:t>Date Completed</w:t>
            </w:r>
          </w:p>
        </w:tc>
        <w:tc>
          <w:tcPr>
            <w:tcW w:w="6552" w:type="dxa"/>
            <w:tcBorders>
              <w:top w:val="single" w:sz="4" w:space="0" w:color="auto"/>
              <w:left w:val="single" w:sz="4" w:space="0" w:color="auto"/>
              <w:bottom w:val="single" w:sz="4" w:space="0" w:color="auto"/>
              <w:right w:val="single" w:sz="4" w:space="0" w:color="auto"/>
            </w:tcBorders>
            <w:hideMark/>
          </w:tcPr>
          <w:p w14:paraId="3F88FB0E" w14:textId="77777777" w:rsidR="00BD3DE6" w:rsidRPr="00990078" w:rsidRDefault="00BD3DE6" w:rsidP="00D53CC6">
            <w:pPr>
              <w:rPr>
                <w:rFonts w:ascii="Garamond" w:hAnsi="Garamond" w:cs="Times New Roman"/>
                <w:b/>
                <w:bCs/>
                <w:sz w:val="24"/>
                <w:szCs w:val="24"/>
                <w:lang w:val="en-US"/>
              </w:rPr>
            </w:pPr>
            <w:r w:rsidRPr="00990078">
              <w:rPr>
                <w:rFonts w:ascii="Garamond" w:hAnsi="Garamond" w:cs="Times New Roman"/>
                <w:b/>
                <w:bCs/>
                <w:sz w:val="24"/>
                <w:szCs w:val="24"/>
                <w:lang w:val="en-US"/>
              </w:rPr>
              <w:t>Description/Notes</w:t>
            </w:r>
          </w:p>
        </w:tc>
      </w:tr>
      <w:tr w:rsidR="00BD3DE6" w:rsidRPr="00990078" w14:paraId="34BE34AA" w14:textId="77777777" w:rsidTr="00D53CC6">
        <w:tc>
          <w:tcPr>
            <w:tcW w:w="9805" w:type="dxa"/>
            <w:gridSpan w:val="3"/>
            <w:tcBorders>
              <w:top w:val="single" w:sz="4" w:space="0" w:color="auto"/>
              <w:left w:val="single" w:sz="4" w:space="0" w:color="auto"/>
              <w:bottom w:val="single" w:sz="4" w:space="0" w:color="auto"/>
              <w:right w:val="single" w:sz="4" w:space="0" w:color="auto"/>
            </w:tcBorders>
            <w:shd w:val="clear" w:color="auto" w:fill="E8E8E8" w:themeFill="background2"/>
            <w:hideMark/>
          </w:tcPr>
          <w:p w14:paraId="6D24B846" w14:textId="77777777" w:rsidR="00BD3DE6" w:rsidRPr="00990078" w:rsidRDefault="00BD3DE6" w:rsidP="00D53CC6">
            <w:pPr>
              <w:rPr>
                <w:rFonts w:ascii="Garamond" w:hAnsi="Garamond" w:cs="Times New Roman"/>
                <w:b/>
                <w:bCs/>
                <w:sz w:val="24"/>
                <w:szCs w:val="24"/>
                <w:lang w:val="en-US"/>
              </w:rPr>
            </w:pPr>
            <w:r w:rsidRPr="00990078">
              <w:rPr>
                <w:rFonts w:ascii="Garamond" w:hAnsi="Garamond" w:cs="Times New Roman"/>
                <w:b/>
                <w:bCs/>
                <w:sz w:val="24"/>
                <w:szCs w:val="24"/>
                <w:lang w:val="en-US"/>
              </w:rPr>
              <w:t>Project Planning Phase</w:t>
            </w:r>
          </w:p>
        </w:tc>
      </w:tr>
      <w:tr w:rsidR="00BD3DE6" w:rsidRPr="00990078" w14:paraId="5B3A2BE2"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7FF73280"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Needs Assessment</w:t>
            </w:r>
          </w:p>
        </w:tc>
        <w:tc>
          <w:tcPr>
            <w:tcW w:w="1381" w:type="dxa"/>
            <w:tcBorders>
              <w:top w:val="single" w:sz="4" w:space="0" w:color="auto"/>
              <w:left w:val="single" w:sz="4" w:space="0" w:color="auto"/>
              <w:bottom w:val="single" w:sz="4" w:space="0" w:color="auto"/>
              <w:right w:val="single" w:sz="4" w:space="0" w:color="auto"/>
            </w:tcBorders>
            <w:hideMark/>
          </w:tcPr>
          <w:p w14:paraId="4959430C"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August 27,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BD3DE6" w:rsidRPr="00990078" w14:paraId="184C4B8B" w14:textId="77777777" w:rsidTr="00D53CC6">
              <w:trPr>
                <w:tblCellSpacing w:w="15" w:type="dxa"/>
              </w:trPr>
              <w:tc>
                <w:tcPr>
                  <w:tcW w:w="0" w:type="auto"/>
                  <w:tcMar>
                    <w:top w:w="15" w:type="dxa"/>
                    <w:left w:w="15" w:type="dxa"/>
                    <w:bottom w:w="15" w:type="dxa"/>
                    <w:right w:w="15" w:type="dxa"/>
                  </w:tcMar>
                  <w:vAlign w:val="center"/>
                  <w:hideMark/>
                </w:tcPr>
                <w:p w14:paraId="006E0897" w14:textId="77777777" w:rsidR="00BD3DE6" w:rsidRPr="00990078" w:rsidRDefault="00BD3DE6" w:rsidP="00D53CC6">
                  <w:pPr>
                    <w:rPr>
                      <w:rFonts w:ascii="Garamond" w:hAnsi="Garamond" w:cs="Times New Roman"/>
                    </w:rPr>
                  </w:pPr>
                  <w:r w:rsidRPr="00990078">
                    <w:rPr>
                      <w:rFonts w:ascii="Garamond" w:hAnsi="Garamond" w:cs="Times New Roman"/>
                    </w:rPr>
                    <w:t xml:space="preserve">A comprehensive review of Medicaid claim denial trends and documentation audits will be completed across all Harsha Autism Center locations. Data from </w:t>
                  </w:r>
                  <w:proofErr w:type="spellStart"/>
                  <w:r w:rsidRPr="00990078">
                    <w:rPr>
                      <w:rFonts w:ascii="Garamond" w:hAnsi="Garamond" w:cs="Times New Roman"/>
                    </w:rPr>
                    <w:t>CentralReach</w:t>
                  </w:r>
                  <w:proofErr w:type="spellEnd"/>
                  <w:r w:rsidRPr="00990078">
                    <w:rPr>
                      <w:rFonts w:ascii="Garamond" w:hAnsi="Garamond" w:cs="Times New Roman"/>
                    </w:rPr>
                    <w:t xml:space="preserve"> and the billing </w:t>
                  </w:r>
                  <w:r w:rsidRPr="00990078">
                    <w:rPr>
                      <w:rFonts w:ascii="Garamond" w:hAnsi="Garamond" w:cs="Times New Roman"/>
                    </w:rPr>
                    <w:lastRenderedPageBreak/>
                    <w:t>department will identify the primary causes of denials (e.g., missing CPT codes, incomplete time entries, absent signatures). This establishes the baseline compliance rate and validates the need for a standardized note conversion checklist.</w:t>
                  </w:r>
                </w:p>
              </w:tc>
            </w:tr>
          </w:tbl>
          <w:p w14:paraId="41FAE04D"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3418A689" w14:textId="77777777" w:rsidTr="00D53CC6">
              <w:trPr>
                <w:tblCellSpacing w:w="15" w:type="dxa"/>
                <w:hidden/>
              </w:trPr>
              <w:tc>
                <w:tcPr>
                  <w:tcW w:w="0" w:type="auto"/>
                  <w:tcMar>
                    <w:top w:w="15" w:type="dxa"/>
                    <w:left w:w="15" w:type="dxa"/>
                    <w:bottom w:w="15" w:type="dxa"/>
                    <w:right w:w="15" w:type="dxa"/>
                  </w:tcMar>
                  <w:vAlign w:val="center"/>
                  <w:hideMark/>
                </w:tcPr>
                <w:p w14:paraId="507BAFEB" w14:textId="77777777" w:rsidR="00BD3DE6" w:rsidRPr="00990078" w:rsidRDefault="00BD3DE6" w:rsidP="00D53CC6">
                  <w:pPr>
                    <w:rPr>
                      <w:rFonts w:ascii="Garamond" w:hAnsi="Garamond" w:cs="Times New Roman"/>
                      <w:vanish/>
                    </w:rPr>
                  </w:pPr>
                </w:p>
              </w:tc>
            </w:tr>
          </w:tbl>
          <w:p w14:paraId="30B99948" w14:textId="77777777" w:rsidR="00BD3DE6" w:rsidRPr="00990078" w:rsidRDefault="00BD3DE6" w:rsidP="00D53CC6">
            <w:pPr>
              <w:rPr>
                <w:rFonts w:ascii="Garamond" w:hAnsi="Garamond" w:cs="Times New Roman"/>
                <w:sz w:val="24"/>
                <w:szCs w:val="24"/>
                <w:lang w:val="en-US"/>
              </w:rPr>
            </w:pPr>
          </w:p>
        </w:tc>
      </w:tr>
      <w:tr w:rsidR="00BD3DE6" w:rsidRPr="00990078" w14:paraId="4157C9FE"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61B256F0"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PICOT</w:t>
            </w:r>
          </w:p>
        </w:tc>
        <w:tc>
          <w:tcPr>
            <w:tcW w:w="1381" w:type="dxa"/>
            <w:tcBorders>
              <w:top w:val="single" w:sz="4" w:space="0" w:color="auto"/>
              <w:left w:val="single" w:sz="4" w:space="0" w:color="auto"/>
              <w:bottom w:val="single" w:sz="4" w:space="0" w:color="auto"/>
              <w:right w:val="single" w:sz="4" w:space="0" w:color="auto"/>
            </w:tcBorders>
            <w:hideMark/>
          </w:tcPr>
          <w:p w14:paraId="11BE2D3A"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September 10,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BD3DE6" w:rsidRPr="00990078" w14:paraId="07383650" w14:textId="77777777" w:rsidTr="00D53CC6">
              <w:trPr>
                <w:tblCellSpacing w:w="15" w:type="dxa"/>
              </w:trPr>
              <w:tc>
                <w:tcPr>
                  <w:tcW w:w="0" w:type="auto"/>
                  <w:tcMar>
                    <w:top w:w="15" w:type="dxa"/>
                    <w:left w:w="15" w:type="dxa"/>
                    <w:bottom w:w="15" w:type="dxa"/>
                    <w:right w:w="15" w:type="dxa"/>
                  </w:tcMar>
                  <w:vAlign w:val="center"/>
                  <w:hideMark/>
                </w:tcPr>
                <w:p w14:paraId="47D9BD19" w14:textId="77777777" w:rsidR="00BD3DE6" w:rsidRPr="00990078" w:rsidRDefault="00BD3DE6" w:rsidP="00D53CC6">
                  <w:pPr>
                    <w:rPr>
                      <w:rFonts w:ascii="Garamond" w:hAnsi="Garamond" w:cs="Times New Roman"/>
                    </w:rPr>
                  </w:pPr>
                  <w:r w:rsidRPr="00990078">
                    <w:rPr>
                      <w:rFonts w:ascii="Garamond" w:hAnsi="Garamond" w:cs="Times New Roman"/>
                    </w:rPr>
                    <w:t>Among ABA providers in Indiana who deliver Medicaid-funded services, does using a standardized note conversion checklist, compared to current inconsistent and fragmented practices, decrease claim denials within 12 months? This PICOT guides the entire quality improvement framework and defines measurable outcomes.</w:t>
                  </w:r>
                </w:p>
              </w:tc>
            </w:tr>
          </w:tbl>
          <w:p w14:paraId="12884074"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541655C8" w14:textId="77777777" w:rsidTr="00D53CC6">
              <w:trPr>
                <w:tblCellSpacing w:w="15" w:type="dxa"/>
                <w:hidden/>
              </w:trPr>
              <w:tc>
                <w:tcPr>
                  <w:tcW w:w="0" w:type="auto"/>
                  <w:tcMar>
                    <w:top w:w="15" w:type="dxa"/>
                    <w:left w:w="15" w:type="dxa"/>
                    <w:bottom w:w="15" w:type="dxa"/>
                    <w:right w:w="15" w:type="dxa"/>
                  </w:tcMar>
                  <w:vAlign w:val="center"/>
                  <w:hideMark/>
                </w:tcPr>
                <w:p w14:paraId="101D6E1F" w14:textId="77777777" w:rsidR="00BD3DE6" w:rsidRPr="00990078" w:rsidRDefault="00BD3DE6" w:rsidP="00D53CC6">
                  <w:pPr>
                    <w:rPr>
                      <w:rFonts w:ascii="Garamond" w:hAnsi="Garamond" w:cs="Times New Roman"/>
                      <w:vanish/>
                    </w:rPr>
                  </w:pPr>
                </w:p>
              </w:tc>
            </w:tr>
          </w:tbl>
          <w:p w14:paraId="77E5AE2C" w14:textId="77777777" w:rsidR="00BD3DE6" w:rsidRPr="00990078" w:rsidRDefault="00BD3DE6" w:rsidP="00D53CC6">
            <w:pPr>
              <w:rPr>
                <w:rFonts w:ascii="Garamond" w:hAnsi="Garamond" w:cs="Times New Roman"/>
                <w:sz w:val="24"/>
                <w:szCs w:val="24"/>
                <w:lang w:val="en-US"/>
              </w:rPr>
            </w:pPr>
          </w:p>
        </w:tc>
      </w:tr>
      <w:tr w:rsidR="00BD3DE6" w:rsidRPr="00990078" w14:paraId="28C2AD4A"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5FECE06D"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Stakeholder Identification</w:t>
            </w:r>
          </w:p>
        </w:tc>
        <w:tc>
          <w:tcPr>
            <w:tcW w:w="1381" w:type="dxa"/>
            <w:tcBorders>
              <w:top w:val="single" w:sz="4" w:space="0" w:color="auto"/>
              <w:left w:val="single" w:sz="4" w:space="0" w:color="auto"/>
              <w:bottom w:val="single" w:sz="4" w:space="0" w:color="auto"/>
              <w:right w:val="single" w:sz="4" w:space="0" w:color="auto"/>
            </w:tcBorders>
            <w:hideMark/>
          </w:tcPr>
          <w:p w14:paraId="1D6A968F"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September 3,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BD3DE6" w:rsidRPr="00990078" w14:paraId="3B16276D" w14:textId="77777777" w:rsidTr="00D53CC6">
              <w:trPr>
                <w:tblCellSpacing w:w="15" w:type="dxa"/>
              </w:trPr>
              <w:tc>
                <w:tcPr>
                  <w:tcW w:w="0" w:type="auto"/>
                  <w:tcMar>
                    <w:top w:w="15" w:type="dxa"/>
                    <w:left w:w="15" w:type="dxa"/>
                    <w:bottom w:w="15" w:type="dxa"/>
                    <w:right w:w="15" w:type="dxa"/>
                  </w:tcMar>
                  <w:vAlign w:val="center"/>
                  <w:hideMark/>
                </w:tcPr>
                <w:p w14:paraId="1D1EA113" w14:textId="77777777" w:rsidR="00BD3DE6" w:rsidRPr="00990078" w:rsidRDefault="00BD3DE6" w:rsidP="00D53CC6">
                  <w:pPr>
                    <w:rPr>
                      <w:rFonts w:ascii="Garamond" w:hAnsi="Garamond" w:cs="Times New Roman"/>
                    </w:rPr>
                  </w:pPr>
                  <w:r w:rsidRPr="00990078">
                    <w:rPr>
                      <w:rFonts w:ascii="Garamond" w:hAnsi="Garamond" w:cs="Times New Roman"/>
                    </w:rPr>
                    <w:t>Key stakeholders include Board Certified Behavior Analysts (BCBAs), Assistant Behavior Analysts (</w:t>
                  </w:r>
                  <w:proofErr w:type="spellStart"/>
                  <w:r w:rsidRPr="00990078">
                    <w:rPr>
                      <w:rFonts w:ascii="Garamond" w:hAnsi="Garamond" w:cs="Times New Roman"/>
                    </w:rPr>
                    <w:t>BCaBAs</w:t>
                  </w:r>
                  <w:proofErr w:type="spellEnd"/>
                  <w:r w:rsidRPr="00990078">
                    <w:rPr>
                      <w:rFonts w:ascii="Garamond" w:hAnsi="Garamond" w:cs="Times New Roman"/>
                    </w:rPr>
                    <w:t>), Registered Behavior Technicians (RBTs), the Clinical Director, Quality Assurance (QA) team, and the Billing Specialist. Indirect stakeholders include clients, families, and Medicaid payers. Roles and communication pathways will be outlined in the stakeholder map.</w:t>
                  </w:r>
                </w:p>
              </w:tc>
            </w:tr>
          </w:tbl>
          <w:p w14:paraId="5BF34C0D"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266BD3CE" w14:textId="77777777" w:rsidTr="00D53CC6">
              <w:trPr>
                <w:tblCellSpacing w:w="15" w:type="dxa"/>
                <w:hidden/>
              </w:trPr>
              <w:tc>
                <w:tcPr>
                  <w:tcW w:w="0" w:type="auto"/>
                  <w:tcMar>
                    <w:top w:w="15" w:type="dxa"/>
                    <w:left w:w="15" w:type="dxa"/>
                    <w:bottom w:w="15" w:type="dxa"/>
                    <w:right w:w="15" w:type="dxa"/>
                  </w:tcMar>
                  <w:vAlign w:val="center"/>
                  <w:hideMark/>
                </w:tcPr>
                <w:p w14:paraId="1FB96531" w14:textId="77777777" w:rsidR="00BD3DE6" w:rsidRPr="00990078" w:rsidRDefault="00BD3DE6" w:rsidP="00D53CC6">
                  <w:pPr>
                    <w:rPr>
                      <w:rFonts w:ascii="Garamond" w:hAnsi="Garamond" w:cs="Times New Roman"/>
                      <w:vanish/>
                    </w:rPr>
                  </w:pPr>
                </w:p>
              </w:tc>
            </w:tr>
          </w:tbl>
          <w:p w14:paraId="11A958DC" w14:textId="77777777" w:rsidR="00BD3DE6" w:rsidRPr="00990078" w:rsidRDefault="00BD3DE6" w:rsidP="00D53CC6">
            <w:pPr>
              <w:rPr>
                <w:rFonts w:ascii="Garamond" w:hAnsi="Garamond" w:cs="Times New Roman"/>
                <w:sz w:val="24"/>
                <w:szCs w:val="24"/>
                <w:lang w:val="en-US"/>
              </w:rPr>
            </w:pPr>
          </w:p>
        </w:tc>
      </w:tr>
      <w:tr w:rsidR="00BD3DE6" w:rsidRPr="00990078" w14:paraId="7A9EE65A" w14:textId="77777777" w:rsidTr="00D53CC6">
        <w:tc>
          <w:tcPr>
            <w:tcW w:w="1872" w:type="dxa"/>
            <w:tcBorders>
              <w:top w:val="single" w:sz="4" w:space="0" w:color="auto"/>
              <w:left w:val="single" w:sz="4" w:space="0" w:color="auto"/>
              <w:bottom w:val="single" w:sz="4" w:space="0" w:color="auto"/>
              <w:right w:val="single" w:sz="4" w:space="0" w:color="auto"/>
            </w:tcBorders>
          </w:tcPr>
          <w:p w14:paraId="4F7EC0A8"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Project Charter/ SBAR</w:t>
            </w:r>
          </w:p>
          <w:p w14:paraId="4CB1BF87" w14:textId="77777777" w:rsidR="00BD3DE6" w:rsidRPr="00990078" w:rsidRDefault="00BD3DE6" w:rsidP="00D53CC6">
            <w:pPr>
              <w:rPr>
                <w:rFonts w:ascii="Garamond" w:hAnsi="Garamond" w:cs="Times New Roman"/>
                <w:sz w:val="24"/>
                <w:szCs w:val="24"/>
                <w:lang w:val="en-US"/>
              </w:rPr>
            </w:pPr>
          </w:p>
        </w:tc>
        <w:tc>
          <w:tcPr>
            <w:tcW w:w="1381" w:type="dxa"/>
            <w:tcBorders>
              <w:top w:val="single" w:sz="4" w:space="0" w:color="auto"/>
              <w:left w:val="single" w:sz="4" w:space="0" w:color="auto"/>
              <w:bottom w:val="single" w:sz="4" w:space="0" w:color="auto"/>
              <w:right w:val="single" w:sz="4" w:space="0" w:color="auto"/>
            </w:tcBorders>
            <w:hideMark/>
          </w:tcPr>
          <w:p w14:paraId="5A0D775B"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October 8,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BD3DE6" w:rsidRPr="00990078" w14:paraId="539AA215" w14:textId="77777777" w:rsidTr="00D53CC6">
              <w:trPr>
                <w:tblCellSpacing w:w="15" w:type="dxa"/>
              </w:trPr>
              <w:tc>
                <w:tcPr>
                  <w:tcW w:w="0" w:type="auto"/>
                  <w:tcMar>
                    <w:top w:w="15" w:type="dxa"/>
                    <w:left w:w="15" w:type="dxa"/>
                    <w:bottom w:w="15" w:type="dxa"/>
                    <w:right w:w="15" w:type="dxa"/>
                  </w:tcMar>
                  <w:vAlign w:val="center"/>
                  <w:hideMark/>
                </w:tcPr>
                <w:p w14:paraId="51A8CBAE" w14:textId="77777777" w:rsidR="00BD3DE6" w:rsidRPr="00990078" w:rsidRDefault="00BD3DE6" w:rsidP="00D53CC6">
                  <w:pPr>
                    <w:rPr>
                      <w:rFonts w:ascii="Garamond" w:hAnsi="Garamond" w:cs="Times New Roman"/>
                    </w:rPr>
                  </w:pPr>
                  <w:r w:rsidRPr="00990078">
                    <w:rPr>
                      <w:rFonts w:ascii="Garamond" w:hAnsi="Garamond" w:cs="Times New Roman"/>
                    </w:rPr>
                    <w:t>The charter will summarize the project’s purpose, goals, outcomes, and resource requirements. It formalizes the improvement plan for leadership review. The SBAR will concisely describe the Situation (high denial rates), Background (documentation errors), Assessment (identified gaps), and Recommendation (checklist implementation).</w:t>
                  </w:r>
                </w:p>
              </w:tc>
            </w:tr>
          </w:tbl>
          <w:p w14:paraId="6E48F198"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02AE14E4" w14:textId="77777777" w:rsidTr="00D53CC6">
              <w:trPr>
                <w:tblCellSpacing w:w="15" w:type="dxa"/>
                <w:hidden/>
              </w:trPr>
              <w:tc>
                <w:tcPr>
                  <w:tcW w:w="0" w:type="auto"/>
                  <w:tcMar>
                    <w:top w:w="15" w:type="dxa"/>
                    <w:left w:w="15" w:type="dxa"/>
                    <w:bottom w:w="15" w:type="dxa"/>
                    <w:right w:w="15" w:type="dxa"/>
                  </w:tcMar>
                  <w:vAlign w:val="center"/>
                  <w:hideMark/>
                </w:tcPr>
                <w:p w14:paraId="7F69389E" w14:textId="77777777" w:rsidR="00BD3DE6" w:rsidRPr="00990078" w:rsidRDefault="00BD3DE6" w:rsidP="00D53CC6">
                  <w:pPr>
                    <w:rPr>
                      <w:rFonts w:ascii="Garamond" w:hAnsi="Garamond" w:cs="Times New Roman"/>
                      <w:vanish/>
                    </w:rPr>
                  </w:pPr>
                </w:p>
              </w:tc>
            </w:tr>
          </w:tbl>
          <w:p w14:paraId="6B641C4F" w14:textId="77777777" w:rsidR="00BD3DE6" w:rsidRPr="00990078" w:rsidRDefault="00BD3DE6" w:rsidP="00D53CC6">
            <w:pPr>
              <w:rPr>
                <w:rFonts w:ascii="Garamond" w:hAnsi="Garamond" w:cs="Times New Roman"/>
                <w:sz w:val="24"/>
                <w:szCs w:val="24"/>
                <w:lang w:val="en-US"/>
              </w:rPr>
            </w:pPr>
          </w:p>
        </w:tc>
      </w:tr>
      <w:tr w:rsidR="00BD3DE6" w:rsidRPr="00990078" w14:paraId="76FE945C"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3CF811F1"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Stakeholder Interview Completed</w:t>
            </w:r>
          </w:p>
        </w:tc>
        <w:tc>
          <w:tcPr>
            <w:tcW w:w="1381" w:type="dxa"/>
            <w:tcBorders>
              <w:top w:val="single" w:sz="4" w:space="0" w:color="auto"/>
              <w:left w:val="single" w:sz="4" w:space="0" w:color="auto"/>
              <w:bottom w:val="single" w:sz="4" w:space="0" w:color="auto"/>
              <w:right w:val="single" w:sz="4" w:space="0" w:color="auto"/>
            </w:tcBorders>
            <w:hideMark/>
          </w:tcPr>
          <w:p w14:paraId="13D51F26"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October 23,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BD3DE6" w:rsidRPr="00990078" w14:paraId="3766FF0B" w14:textId="77777777" w:rsidTr="00D53CC6">
              <w:trPr>
                <w:tblCellSpacing w:w="15" w:type="dxa"/>
              </w:trPr>
              <w:tc>
                <w:tcPr>
                  <w:tcW w:w="0" w:type="auto"/>
                  <w:tcMar>
                    <w:top w:w="15" w:type="dxa"/>
                    <w:left w:w="15" w:type="dxa"/>
                    <w:bottom w:w="15" w:type="dxa"/>
                    <w:right w:w="15" w:type="dxa"/>
                  </w:tcMar>
                  <w:vAlign w:val="center"/>
                  <w:hideMark/>
                </w:tcPr>
                <w:p w14:paraId="7218AB0D" w14:textId="77777777" w:rsidR="00BD3DE6" w:rsidRPr="00990078" w:rsidRDefault="00BD3DE6" w:rsidP="00D53CC6">
                  <w:pPr>
                    <w:rPr>
                      <w:rFonts w:ascii="Garamond" w:hAnsi="Garamond" w:cs="Times New Roman"/>
                    </w:rPr>
                  </w:pPr>
                  <w:r w:rsidRPr="00990078">
                    <w:rPr>
                      <w:rFonts w:ascii="Garamond" w:hAnsi="Garamond" w:cs="Times New Roman"/>
                    </w:rPr>
                    <w:t>A structured interview will be conducted with a BCBA (Kelsi Dye, MA, BCBA) to identify current pain points, documentation inconsistencies, and barriers to Medicaid compliance. Feedback will directly shape checklist design and staff training content.</w:t>
                  </w:r>
                </w:p>
              </w:tc>
            </w:tr>
          </w:tbl>
          <w:p w14:paraId="05532370"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02B03407" w14:textId="77777777" w:rsidTr="00D53CC6">
              <w:trPr>
                <w:tblCellSpacing w:w="15" w:type="dxa"/>
                <w:hidden/>
              </w:trPr>
              <w:tc>
                <w:tcPr>
                  <w:tcW w:w="0" w:type="auto"/>
                  <w:tcMar>
                    <w:top w:w="15" w:type="dxa"/>
                    <w:left w:w="15" w:type="dxa"/>
                    <w:bottom w:w="15" w:type="dxa"/>
                    <w:right w:w="15" w:type="dxa"/>
                  </w:tcMar>
                  <w:vAlign w:val="center"/>
                  <w:hideMark/>
                </w:tcPr>
                <w:p w14:paraId="61833C61" w14:textId="77777777" w:rsidR="00BD3DE6" w:rsidRPr="00990078" w:rsidRDefault="00BD3DE6" w:rsidP="00D53CC6">
                  <w:pPr>
                    <w:rPr>
                      <w:rFonts w:ascii="Garamond" w:hAnsi="Garamond" w:cs="Times New Roman"/>
                      <w:vanish/>
                    </w:rPr>
                  </w:pPr>
                </w:p>
              </w:tc>
            </w:tr>
          </w:tbl>
          <w:p w14:paraId="3CC89B67" w14:textId="77777777" w:rsidR="00BD3DE6" w:rsidRPr="00990078" w:rsidRDefault="00BD3DE6" w:rsidP="00D53CC6">
            <w:pPr>
              <w:rPr>
                <w:rFonts w:ascii="Garamond" w:hAnsi="Garamond" w:cs="Times New Roman"/>
                <w:sz w:val="24"/>
                <w:szCs w:val="24"/>
                <w:lang w:val="en-US"/>
              </w:rPr>
            </w:pPr>
          </w:p>
        </w:tc>
      </w:tr>
      <w:tr w:rsidR="00BD3DE6" w:rsidRPr="00990078" w14:paraId="0943FEEF"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1F8E8B61"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Intervention List</w:t>
            </w:r>
          </w:p>
        </w:tc>
        <w:tc>
          <w:tcPr>
            <w:tcW w:w="1381" w:type="dxa"/>
            <w:tcBorders>
              <w:top w:val="single" w:sz="4" w:space="0" w:color="auto"/>
              <w:left w:val="single" w:sz="4" w:space="0" w:color="auto"/>
              <w:bottom w:val="single" w:sz="4" w:space="0" w:color="auto"/>
              <w:right w:val="single" w:sz="4" w:space="0" w:color="auto"/>
            </w:tcBorders>
            <w:hideMark/>
          </w:tcPr>
          <w:p w14:paraId="3A85C8C1"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October 23,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BD3DE6" w:rsidRPr="00990078" w14:paraId="18D00389" w14:textId="77777777" w:rsidTr="00D53CC6">
              <w:trPr>
                <w:tblCellSpacing w:w="15" w:type="dxa"/>
              </w:trPr>
              <w:tc>
                <w:tcPr>
                  <w:tcW w:w="0" w:type="auto"/>
                  <w:tcMar>
                    <w:top w:w="15" w:type="dxa"/>
                    <w:left w:w="15" w:type="dxa"/>
                    <w:bottom w:w="15" w:type="dxa"/>
                    <w:right w:w="15" w:type="dxa"/>
                  </w:tcMar>
                  <w:vAlign w:val="center"/>
                  <w:hideMark/>
                </w:tcPr>
                <w:p w14:paraId="397356A6" w14:textId="77777777" w:rsidR="00BD3DE6" w:rsidRPr="00990078" w:rsidRDefault="00BD3DE6" w:rsidP="00D53CC6">
                  <w:pPr>
                    <w:rPr>
                      <w:rFonts w:ascii="Garamond" w:hAnsi="Garamond" w:cs="Times New Roman"/>
                    </w:rPr>
                  </w:pPr>
                  <w:r w:rsidRPr="00990078">
                    <w:rPr>
                      <w:rFonts w:ascii="Garamond" w:hAnsi="Garamond" w:cs="Times New Roman"/>
                    </w:rPr>
                    <w:t xml:space="preserve">The final intervention plan will include eight structured phases: (1) baseline audit, (2) checklist design, (3) electronic template </w:t>
                  </w:r>
                  <w:proofErr w:type="gramStart"/>
                  <w:r w:rsidRPr="00990078">
                    <w:rPr>
                      <w:rFonts w:ascii="Garamond" w:hAnsi="Garamond" w:cs="Times New Roman"/>
                    </w:rPr>
                    <w:t>build</w:t>
                  </w:r>
                  <w:proofErr w:type="gramEnd"/>
                  <w:r w:rsidRPr="00990078">
                    <w:rPr>
                      <w:rFonts w:ascii="Garamond" w:hAnsi="Garamond" w:cs="Times New Roman"/>
                    </w:rPr>
                    <w:t xml:space="preserve"> in </w:t>
                  </w:r>
                  <w:proofErr w:type="spellStart"/>
                  <w:r w:rsidRPr="00990078">
                    <w:rPr>
                      <w:rFonts w:ascii="Garamond" w:hAnsi="Garamond" w:cs="Times New Roman"/>
                    </w:rPr>
                    <w:t>CentralReach</w:t>
                  </w:r>
                  <w:proofErr w:type="spellEnd"/>
                  <w:r w:rsidRPr="00990078">
                    <w:rPr>
                      <w:rFonts w:ascii="Garamond" w:hAnsi="Garamond" w:cs="Times New Roman"/>
                    </w:rPr>
                    <w:t>, (4) staff training using BST, (5) pilot testing, (6) system-wide rollout, (7) monthly DCAT audits, and (8) quarterly PDSA cycle review. Each step will specify responsible personnel and performance metrics.</w:t>
                  </w:r>
                </w:p>
              </w:tc>
            </w:tr>
          </w:tbl>
          <w:p w14:paraId="7F246174"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03E89B39" w14:textId="77777777" w:rsidTr="00D53CC6">
              <w:trPr>
                <w:tblCellSpacing w:w="15" w:type="dxa"/>
                <w:hidden/>
              </w:trPr>
              <w:tc>
                <w:tcPr>
                  <w:tcW w:w="0" w:type="auto"/>
                  <w:tcMar>
                    <w:top w:w="15" w:type="dxa"/>
                    <w:left w:w="15" w:type="dxa"/>
                    <w:bottom w:w="15" w:type="dxa"/>
                    <w:right w:w="15" w:type="dxa"/>
                  </w:tcMar>
                  <w:vAlign w:val="center"/>
                  <w:hideMark/>
                </w:tcPr>
                <w:p w14:paraId="31BB924E" w14:textId="77777777" w:rsidR="00BD3DE6" w:rsidRPr="00990078" w:rsidRDefault="00BD3DE6" w:rsidP="00D53CC6">
                  <w:pPr>
                    <w:rPr>
                      <w:rFonts w:ascii="Garamond" w:hAnsi="Garamond" w:cs="Times New Roman"/>
                      <w:vanish/>
                    </w:rPr>
                  </w:pPr>
                </w:p>
              </w:tc>
            </w:tr>
          </w:tbl>
          <w:p w14:paraId="0D9787DE" w14:textId="77777777" w:rsidR="00BD3DE6" w:rsidRPr="00990078" w:rsidRDefault="00BD3DE6" w:rsidP="00D53CC6">
            <w:pPr>
              <w:rPr>
                <w:rFonts w:ascii="Garamond" w:hAnsi="Garamond" w:cs="Times New Roman"/>
                <w:sz w:val="24"/>
                <w:szCs w:val="24"/>
                <w:lang w:val="en-US"/>
              </w:rPr>
            </w:pPr>
          </w:p>
        </w:tc>
      </w:tr>
      <w:tr w:rsidR="00BD3DE6" w:rsidRPr="00990078" w14:paraId="49DF6CBF"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1097BB8B"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Measure Identification</w:t>
            </w:r>
          </w:p>
        </w:tc>
        <w:tc>
          <w:tcPr>
            <w:tcW w:w="1381" w:type="dxa"/>
            <w:tcBorders>
              <w:top w:val="single" w:sz="4" w:space="0" w:color="auto"/>
              <w:left w:val="single" w:sz="4" w:space="0" w:color="auto"/>
              <w:bottom w:val="single" w:sz="4" w:space="0" w:color="auto"/>
              <w:right w:val="single" w:sz="4" w:space="0" w:color="auto"/>
            </w:tcBorders>
            <w:hideMark/>
          </w:tcPr>
          <w:p w14:paraId="28027720"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October 23,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BD3DE6" w:rsidRPr="00990078" w14:paraId="0EED9F2A" w14:textId="77777777" w:rsidTr="00D53CC6">
              <w:trPr>
                <w:tblCellSpacing w:w="15" w:type="dxa"/>
              </w:trPr>
              <w:tc>
                <w:tcPr>
                  <w:tcW w:w="0" w:type="auto"/>
                  <w:tcMar>
                    <w:top w:w="15" w:type="dxa"/>
                    <w:left w:w="15" w:type="dxa"/>
                    <w:bottom w:w="15" w:type="dxa"/>
                    <w:right w:w="15" w:type="dxa"/>
                  </w:tcMar>
                  <w:vAlign w:val="center"/>
                  <w:hideMark/>
                </w:tcPr>
                <w:p w14:paraId="01A0BFE0" w14:textId="77777777" w:rsidR="00BD3DE6" w:rsidRPr="00990078" w:rsidRDefault="00BD3DE6" w:rsidP="00D53CC6">
                  <w:pPr>
                    <w:rPr>
                      <w:rFonts w:ascii="Garamond" w:hAnsi="Garamond" w:cs="Times New Roman"/>
                    </w:rPr>
                  </w:pPr>
                  <w:r w:rsidRPr="00990078">
                    <w:rPr>
                      <w:rFonts w:ascii="Garamond" w:hAnsi="Garamond" w:cs="Times New Roman"/>
                    </w:rPr>
                    <w:t xml:space="preserve">The </w:t>
                  </w:r>
                  <w:r w:rsidRPr="00990078">
                    <w:rPr>
                      <w:rFonts w:ascii="Garamond" w:hAnsi="Garamond" w:cs="Times New Roman"/>
                      <w:i/>
                      <w:iCs/>
                    </w:rPr>
                    <w:t>Documentation Compliance Audit Tool (DCAT)</w:t>
                  </w:r>
                  <w:r w:rsidRPr="00990078">
                    <w:rPr>
                      <w:rFonts w:ascii="Garamond" w:hAnsi="Garamond" w:cs="Times New Roman"/>
                    </w:rPr>
                    <w:t xml:space="preserve"> will serve as the primary measure of documentation accuracy. Secondary measures include claim denial rate, time-to-finalize notes, and staff </w:t>
                  </w:r>
                  <w:r w:rsidRPr="00990078">
                    <w:rPr>
                      <w:rFonts w:ascii="Garamond" w:hAnsi="Garamond" w:cs="Times New Roman"/>
                    </w:rPr>
                    <w:lastRenderedPageBreak/>
                    <w:t>satisfaction. Audit data will be compared monthly to monitor improvement.</w:t>
                  </w:r>
                </w:p>
              </w:tc>
            </w:tr>
          </w:tbl>
          <w:p w14:paraId="4CFFB6DF"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5FC6B785" w14:textId="77777777" w:rsidTr="00D53CC6">
              <w:trPr>
                <w:tblCellSpacing w:w="15" w:type="dxa"/>
                <w:hidden/>
              </w:trPr>
              <w:tc>
                <w:tcPr>
                  <w:tcW w:w="0" w:type="auto"/>
                  <w:tcMar>
                    <w:top w:w="15" w:type="dxa"/>
                    <w:left w:w="15" w:type="dxa"/>
                    <w:bottom w:w="15" w:type="dxa"/>
                    <w:right w:w="15" w:type="dxa"/>
                  </w:tcMar>
                  <w:vAlign w:val="center"/>
                  <w:hideMark/>
                </w:tcPr>
                <w:p w14:paraId="0917593A" w14:textId="77777777" w:rsidR="00BD3DE6" w:rsidRPr="00990078" w:rsidRDefault="00BD3DE6" w:rsidP="00D53CC6">
                  <w:pPr>
                    <w:rPr>
                      <w:rFonts w:ascii="Garamond" w:hAnsi="Garamond" w:cs="Times New Roman"/>
                      <w:vanish/>
                    </w:rPr>
                  </w:pPr>
                </w:p>
              </w:tc>
            </w:tr>
          </w:tbl>
          <w:p w14:paraId="657B6505" w14:textId="77777777" w:rsidR="00BD3DE6" w:rsidRPr="00990078" w:rsidRDefault="00BD3DE6" w:rsidP="00D53CC6">
            <w:pPr>
              <w:rPr>
                <w:rFonts w:ascii="Garamond" w:hAnsi="Garamond" w:cs="Times New Roman"/>
                <w:sz w:val="24"/>
                <w:szCs w:val="24"/>
                <w:lang w:val="en-US"/>
              </w:rPr>
            </w:pPr>
          </w:p>
        </w:tc>
      </w:tr>
      <w:tr w:rsidR="00BD3DE6" w:rsidRPr="00990078" w14:paraId="3BE7F3F6"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1B5BC5DD"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Method Section</w:t>
            </w:r>
          </w:p>
        </w:tc>
        <w:tc>
          <w:tcPr>
            <w:tcW w:w="1381" w:type="dxa"/>
            <w:tcBorders>
              <w:top w:val="single" w:sz="4" w:space="0" w:color="auto"/>
              <w:left w:val="single" w:sz="4" w:space="0" w:color="auto"/>
              <w:bottom w:val="single" w:sz="4" w:space="0" w:color="auto"/>
              <w:right w:val="single" w:sz="4" w:space="0" w:color="auto"/>
            </w:tcBorders>
            <w:hideMark/>
          </w:tcPr>
          <w:p w14:paraId="2AC26709"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October 29,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BD3DE6" w:rsidRPr="00990078" w14:paraId="7788A2BE" w14:textId="77777777" w:rsidTr="00D53CC6">
              <w:trPr>
                <w:tblCellSpacing w:w="15" w:type="dxa"/>
              </w:trPr>
              <w:tc>
                <w:tcPr>
                  <w:tcW w:w="0" w:type="auto"/>
                  <w:tcMar>
                    <w:top w:w="15" w:type="dxa"/>
                    <w:left w:w="15" w:type="dxa"/>
                    <w:bottom w:w="15" w:type="dxa"/>
                    <w:right w:w="15" w:type="dxa"/>
                  </w:tcMar>
                  <w:vAlign w:val="center"/>
                  <w:hideMark/>
                </w:tcPr>
                <w:p w14:paraId="7EF77D23" w14:textId="77777777" w:rsidR="00BD3DE6" w:rsidRPr="00990078" w:rsidRDefault="00BD3DE6" w:rsidP="00D53CC6">
                  <w:pPr>
                    <w:rPr>
                      <w:rFonts w:ascii="Garamond" w:hAnsi="Garamond" w:cs="Times New Roman"/>
                    </w:rPr>
                  </w:pPr>
                  <w:r w:rsidRPr="00990078">
                    <w:rPr>
                      <w:rFonts w:ascii="Garamond" w:hAnsi="Garamond" w:cs="Times New Roman"/>
                    </w:rPr>
                    <w:t xml:space="preserve">The project will follow a combined Plan–Do–Study–Act (PDSA) and Lean Six Sigma framework. Data will be collected through </w:t>
                  </w:r>
                  <w:proofErr w:type="spellStart"/>
                  <w:r w:rsidRPr="00990078">
                    <w:rPr>
                      <w:rFonts w:ascii="Garamond" w:hAnsi="Garamond" w:cs="Times New Roman"/>
                    </w:rPr>
                    <w:t>CentralReach</w:t>
                  </w:r>
                  <w:proofErr w:type="spellEnd"/>
                  <w:r w:rsidRPr="00990078">
                    <w:rPr>
                      <w:rFonts w:ascii="Garamond" w:hAnsi="Garamond" w:cs="Times New Roman"/>
                    </w:rPr>
                    <w:t>, internal audits, and surveys. Reliability will be maintained through dual scoring of 10% of notes each month.</w:t>
                  </w:r>
                </w:p>
              </w:tc>
            </w:tr>
          </w:tbl>
          <w:p w14:paraId="4FD85D1E"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52B730DA" w14:textId="77777777" w:rsidTr="00D53CC6">
              <w:trPr>
                <w:tblCellSpacing w:w="15" w:type="dxa"/>
                <w:hidden/>
              </w:trPr>
              <w:tc>
                <w:tcPr>
                  <w:tcW w:w="0" w:type="auto"/>
                  <w:tcMar>
                    <w:top w:w="15" w:type="dxa"/>
                    <w:left w:w="15" w:type="dxa"/>
                    <w:bottom w:w="15" w:type="dxa"/>
                    <w:right w:w="15" w:type="dxa"/>
                  </w:tcMar>
                  <w:vAlign w:val="center"/>
                  <w:hideMark/>
                </w:tcPr>
                <w:p w14:paraId="3A7918BF" w14:textId="77777777" w:rsidR="00BD3DE6" w:rsidRPr="00990078" w:rsidRDefault="00BD3DE6" w:rsidP="00D53CC6">
                  <w:pPr>
                    <w:rPr>
                      <w:rFonts w:ascii="Garamond" w:hAnsi="Garamond" w:cs="Times New Roman"/>
                      <w:vanish/>
                    </w:rPr>
                  </w:pPr>
                </w:p>
              </w:tc>
            </w:tr>
          </w:tbl>
          <w:p w14:paraId="58D9F063" w14:textId="77777777" w:rsidR="00BD3DE6" w:rsidRPr="00990078" w:rsidRDefault="00BD3DE6" w:rsidP="00D53CC6">
            <w:pPr>
              <w:rPr>
                <w:rFonts w:ascii="Garamond" w:hAnsi="Garamond" w:cs="Times New Roman"/>
                <w:sz w:val="24"/>
                <w:szCs w:val="24"/>
                <w:lang w:val="en-US"/>
              </w:rPr>
            </w:pPr>
          </w:p>
        </w:tc>
      </w:tr>
      <w:tr w:rsidR="00BD3DE6" w:rsidRPr="00990078" w14:paraId="67EF0B0D"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4C86F0B8"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Proposed Timeline</w:t>
            </w:r>
          </w:p>
        </w:tc>
        <w:tc>
          <w:tcPr>
            <w:tcW w:w="1381" w:type="dxa"/>
            <w:tcBorders>
              <w:top w:val="single" w:sz="4" w:space="0" w:color="auto"/>
              <w:left w:val="single" w:sz="4" w:space="0" w:color="auto"/>
              <w:bottom w:val="single" w:sz="4" w:space="0" w:color="auto"/>
              <w:right w:val="single" w:sz="4" w:space="0" w:color="auto"/>
            </w:tcBorders>
            <w:hideMark/>
          </w:tcPr>
          <w:p w14:paraId="6FCDA034"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November 5,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BD3DE6" w:rsidRPr="00990078" w14:paraId="7B703635" w14:textId="77777777" w:rsidTr="00D53CC6">
              <w:trPr>
                <w:tblCellSpacing w:w="15" w:type="dxa"/>
              </w:trPr>
              <w:tc>
                <w:tcPr>
                  <w:tcW w:w="0" w:type="auto"/>
                  <w:tcMar>
                    <w:top w:w="15" w:type="dxa"/>
                    <w:left w:w="15" w:type="dxa"/>
                    <w:bottom w:w="15" w:type="dxa"/>
                    <w:right w:w="15" w:type="dxa"/>
                  </w:tcMar>
                  <w:vAlign w:val="center"/>
                  <w:hideMark/>
                </w:tcPr>
                <w:p w14:paraId="3E87D12B" w14:textId="77777777" w:rsidR="00BD3DE6" w:rsidRPr="00990078" w:rsidRDefault="00BD3DE6" w:rsidP="00D53CC6">
                  <w:pPr>
                    <w:rPr>
                      <w:rFonts w:ascii="Garamond" w:hAnsi="Garamond" w:cs="Times New Roman"/>
                    </w:rPr>
                  </w:pPr>
                  <w:r w:rsidRPr="00990078">
                    <w:rPr>
                      <w:rFonts w:ascii="Garamond" w:hAnsi="Garamond" w:cs="Times New Roman"/>
                    </w:rPr>
                    <w:t>A six-month implementation and sustainment schedule will be followed: baseline and checklist development (Dec 2025–Jan 2026), staff training and pilot testing (Jan–Feb 2026), system-wide rollout (Mar 2026), and monthly audit and feedback cycles (Apr–Jun 2026). Quarterly PDSA reviews will be conducted throughout to guide iterative improvement and ensure sustainability.</w:t>
                  </w:r>
                </w:p>
              </w:tc>
            </w:tr>
          </w:tbl>
          <w:p w14:paraId="1ADC9C6C"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19CB1FD3" w14:textId="77777777" w:rsidTr="00D53CC6">
              <w:trPr>
                <w:tblCellSpacing w:w="15" w:type="dxa"/>
                <w:hidden/>
              </w:trPr>
              <w:tc>
                <w:tcPr>
                  <w:tcW w:w="0" w:type="auto"/>
                  <w:tcMar>
                    <w:top w:w="15" w:type="dxa"/>
                    <w:left w:w="15" w:type="dxa"/>
                    <w:bottom w:w="15" w:type="dxa"/>
                    <w:right w:w="15" w:type="dxa"/>
                  </w:tcMar>
                  <w:vAlign w:val="center"/>
                  <w:hideMark/>
                </w:tcPr>
                <w:p w14:paraId="1C6996CE" w14:textId="77777777" w:rsidR="00BD3DE6" w:rsidRPr="00990078" w:rsidRDefault="00BD3DE6" w:rsidP="00D53CC6">
                  <w:pPr>
                    <w:rPr>
                      <w:rFonts w:ascii="Garamond" w:hAnsi="Garamond" w:cs="Times New Roman"/>
                      <w:vanish/>
                    </w:rPr>
                  </w:pPr>
                </w:p>
              </w:tc>
            </w:tr>
          </w:tbl>
          <w:p w14:paraId="2090A3F7" w14:textId="77777777" w:rsidR="00BD3DE6" w:rsidRPr="00990078" w:rsidRDefault="00BD3DE6" w:rsidP="00D53CC6">
            <w:pPr>
              <w:rPr>
                <w:rFonts w:ascii="Garamond" w:hAnsi="Garamond" w:cs="Times New Roman"/>
                <w:sz w:val="24"/>
                <w:szCs w:val="24"/>
                <w:lang w:val="en-US"/>
              </w:rPr>
            </w:pPr>
          </w:p>
        </w:tc>
      </w:tr>
      <w:tr w:rsidR="00BD3DE6" w:rsidRPr="00990078" w14:paraId="3239A23D"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5887E722"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Proposed Budget</w:t>
            </w:r>
          </w:p>
        </w:tc>
        <w:tc>
          <w:tcPr>
            <w:tcW w:w="1381" w:type="dxa"/>
            <w:tcBorders>
              <w:top w:val="single" w:sz="4" w:space="0" w:color="auto"/>
              <w:left w:val="single" w:sz="4" w:space="0" w:color="auto"/>
              <w:bottom w:val="single" w:sz="4" w:space="0" w:color="auto"/>
              <w:right w:val="single" w:sz="4" w:space="0" w:color="auto"/>
            </w:tcBorders>
            <w:hideMark/>
          </w:tcPr>
          <w:p w14:paraId="70BAF564"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November 12,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BD3DE6" w:rsidRPr="00990078" w14:paraId="6D40001A" w14:textId="77777777" w:rsidTr="00D53CC6">
              <w:trPr>
                <w:tblCellSpacing w:w="15" w:type="dxa"/>
              </w:trPr>
              <w:tc>
                <w:tcPr>
                  <w:tcW w:w="0" w:type="auto"/>
                  <w:tcMar>
                    <w:top w:w="15" w:type="dxa"/>
                    <w:left w:w="15" w:type="dxa"/>
                    <w:bottom w:w="15" w:type="dxa"/>
                    <w:right w:w="15" w:type="dxa"/>
                  </w:tcMar>
                  <w:vAlign w:val="center"/>
                  <w:hideMark/>
                </w:tcPr>
                <w:p w14:paraId="4F64E8B3" w14:textId="77777777" w:rsidR="00BD3DE6" w:rsidRPr="00990078" w:rsidRDefault="00BD3DE6" w:rsidP="00D53CC6">
                  <w:pPr>
                    <w:rPr>
                      <w:rFonts w:ascii="Garamond" w:hAnsi="Garamond" w:cs="Times New Roman"/>
                    </w:rPr>
                  </w:pPr>
                  <w:r w:rsidRPr="00990078">
                    <w:rPr>
                      <w:rFonts w:ascii="Garamond" w:hAnsi="Garamond" w:cs="Times New Roman"/>
                    </w:rPr>
                    <w:t xml:space="preserve">Estimated internal costs include QA analyst auditing hours, staff training time, and </w:t>
                  </w:r>
                  <w:proofErr w:type="spellStart"/>
                  <w:r w:rsidRPr="00990078">
                    <w:rPr>
                      <w:rFonts w:ascii="Garamond" w:hAnsi="Garamond" w:cs="Times New Roman"/>
                    </w:rPr>
                    <w:t>CentralReach</w:t>
                  </w:r>
                  <w:proofErr w:type="spellEnd"/>
                  <w:r w:rsidRPr="00990078">
                    <w:rPr>
                      <w:rFonts w:ascii="Garamond" w:hAnsi="Garamond" w:cs="Times New Roman"/>
                    </w:rPr>
                    <w:t xml:space="preserve"> administrative updates. Anticipated savings will derive from reduced claim denials and decreased rework time. Projected ROI: improved reimbursement accuracy and reduced operational waste.</w:t>
                  </w:r>
                </w:p>
              </w:tc>
            </w:tr>
          </w:tbl>
          <w:p w14:paraId="4B50E6EC"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196B725B" w14:textId="77777777" w:rsidTr="00D53CC6">
              <w:trPr>
                <w:tblCellSpacing w:w="15" w:type="dxa"/>
                <w:hidden/>
              </w:trPr>
              <w:tc>
                <w:tcPr>
                  <w:tcW w:w="0" w:type="auto"/>
                  <w:tcMar>
                    <w:top w:w="15" w:type="dxa"/>
                    <w:left w:w="15" w:type="dxa"/>
                    <w:bottom w:w="15" w:type="dxa"/>
                    <w:right w:w="15" w:type="dxa"/>
                  </w:tcMar>
                  <w:vAlign w:val="center"/>
                  <w:hideMark/>
                </w:tcPr>
                <w:p w14:paraId="79B7C0C6" w14:textId="77777777" w:rsidR="00BD3DE6" w:rsidRPr="00990078" w:rsidRDefault="00BD3DE6" w:rsidP="00D53CC6">
                  <w:pPr>
                    <w:rPr>
                      <w:rFonts w:ascii="Garamond" w:hAnsi="Garamond" w:cs="Times New Roman"/>
                      <w:vanish/>
                    </w:rPr>
                  </w:pPr>
                </w:p>
              </w:tc>
            </w:tr>
          </w:tbl>
          <w:p w14:paraId="4A0EBB70" w14:textId="77777777" w:rsidR="00BD3DE6" w:rsidRPr="00990078" w:rsidRDefault="00BD3DE6" w:rsidP="00D53CC6">
            <w:pPr>
              <w:rPr>
                <w:rFonts w:ascii="Garamond" w:hAnsi="Garamond" w:cs="Times New Roman"/>
                <w:sz w:val="24"/>
                <w:szCs w:val="24"/>
                <w:lang w:val="en-US"/>
              </w:rPr>
            </w:pPr>
          </w:p>
        </w:tc>
      </w:tr>
      <w:tr w:rsidR="00BD3DE6" w:rsidRPr="00990078" w14:paraId="2168585A"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6811BCDF"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Visual Poster</w:t>
            </w:r>
          </w:p>
        </w:tc>
        <w:tc>
          <w:tcPr>
            <w:tcW w:w="1381" w:type="dxa"/>
            <w:tcBorders>
              <w:top w:val="single" w:sz="4" w:space="0" w:color="auto"/>
              <w:left w:val="single" w:sz="4" w:space="0" w:color="auto"/>
              <w:bottom w:val="single" w:sz="4" w:space="0" w:color="auto"/>
              <w:right w:val="single" w:sz="4" w:space="0" w:color="auto"/>
            </w:tcBorders>
            <w:hideMark/>
          </w:tcPr>
          <w:p w14:paraId="0B87B87E"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November 19,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BD3DE6" w:rsidRPr="00990078" w14:paraId="2D5D0A33" w14:textId="77777777" w:rsidTr="00D53CC6">
              <w:trPr>
                <w:tblCellSpacing w:w="15" w:type="dxa"/>
              </w:trPr>
              <w:tc>
                <w:tcPr>
                  <w:tcW w:w="0" w:type="auto"/>
                  <w:tcMar>
                    <w:top w:w="15" w:type="dxa"/>
                    <w:left w:w="15" w:type="dxa"/>
                    <w:bottom w:w="15" w:type="dxa"/>
                    <w:right w:w="15" w:type="dxa"/>
                  </w:tcMar>
                  <w:vAlign w:val="center"/>
                  <w:hideMark/>
                </w:tcPr>
                <w:p w14:paraId="70BD6873" w14:textId="77777777" w:rsidR="00BD3DE6" w:rsidRPr="00990078" w:rsidRDefault="00BD3DE6" w:rsidP="00D53CC6">
                  <w:pPr>
                    <w:rPr>
                      <w:rFonts w:ascii="Garamond" w:hAnsi="Garamond" w:cs="Times New Roman"/>
                    </w:rPr>
                  </w:pPr>
                  <w:r w:rsidRPr="00990078">
                    <w:rPr>
                      <w:rFonts w:ascii="Garamond" w:hAnsi="Garamond" w:cs="Times New Roman"/>
                    </w:rPr>
                    <w:t>A professional poster will be developed to display project objectives, methods, outcomes (DCAT improvements, denial reductions), and lessons learned. It will be used for dissemination at ASU’s DBH Applied Project Showcase and internal Harsha QA meetings.</w:t>
                  </w:r>
                </w:p>
              </w:tc>
            </w:tr>
          </w:tbl>
          <w:p w14:paraId="655D1B45"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5E463C1D" w14:textId="77777777" w:rsidTr="00D53CC6">
              <w:trPr>
                <w:tblCellSpacing w:w="15" w:type="dxa"/>
                <w:hidden/>
              </w:trPr>
              <w:tc>
                <w:tcPr>
                  <w:tcW w:w="0" w:type="auto"/>
                  <w:tcMar>
                    <w:top w:w="15" w:type="dxa"/>
                    <w:left w:w="15" w:type="dxa"/>
                    <w:bottom w:w="15" w:type="dxa"/>
                    <w:right w:w="15" w:type="dxa"/>
                  </w:tcMar>
                  <w:vAlign w:val="center"/>
                  <w:hideMark/>
                </w:tcPr>
                <w:p w14:paraId="3FEC109D" w14:textId="77777777" w:rsidR="00BD3DE6" w:rsidRPr="00990078" w:rsidRDefault="00BD3DE6" w:rsidP="00D53CC6">
                  <w:pPr>
                    <w:rPr>
                      <w:rFonts w:ascii="Garamond" w:hAnsi="Garamond" w:cs="Times New Roman"/>
                      <w:vanish/>
                    </w:rPr>
                  </w:pPr>
                </w:p>
              </w:tc>
            </w:tr>
          </w:tbl>
          <w:p w14:paraId="477CFFA6" w14:textId="77777777" w:rsidR="00BD3DE6" w:rsidRPr="00990078" w:rsidRDefault="00BD3DE6" w:rsidP="00D53CC6">
            <w:pPr>
              <w:rPr>
                <w:rFonts w:ascii="Garamond" w:hAnsi="Garamond" w:cs="Times New Roman"/>
                <w:sz w:val="24"/>
                <w:szCs w:val="24"/>
                <w:lang w:val="en-US"/>
              </w:rPr>
            </w:pPr>
          </w:p>
        </w:tc>
      </w:tr>
      <w:tr w:rsidR="00BD3DE6" w:rsidRPr="00990078" w14:paraId="55BB271F"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3B122E64"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 xml:space="preserve">Digital Portfolio </w:t>
            </w:r>
          </w:p>
          <w:p w14:paraId="438A86EC"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 xml:space="preserve">Creation </w:t>
            </w:r>
          </w:p>
        </w:tc>
        <w:tc>
          <w:tcPr>
            <w:tcW w:w="1381" w:type="dxa"/>
            <w:tcBorders>
              <w:top w:val="single" w:sz="4" w:space="0" w:color="auto"/>
              <w:left w:val="single" w:sz="4" w:space="0" w:color="auto"/>
              <w:bottom w:val="single" w:sz="4" w:space="0" w:color="auto"/>
              <w:right w:val="single" w:sz="4" w:space="0" w:color="auto"/>
            </w:tcBorders>
            <w:hideMark/>
          </w:tcPr>
          <w:p w14:paraId="3466E859"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December 3, 2025</w:t>
            </w:r>
          </w:p>
        </w:tc>
        <w:tc>
          <w:tcPr>
            <w:tcW w:w="6552" w:type="dxa"/>
            <w:tcBorders>
              <w:top w:val="single" w:sz="4" w:space="0" w:color="auto"/>
              <w:left w:val="single" w:sz="4" w:space="0" w:color="auto"/>
              <w:bottom w:val="single" w:sz="4" w:space="0" w:color="auto"/>
              <w:right w:val="single" w:sz="4" w:space="0" w:color="auto"/>
            </w:tcBorders>
          </w:tcPr>
          <w:p w14:paraId="6AEC6549"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A digital portfolio will compile all deliverables, intervention results, and dissemination materials. It will include the literature review, methods, final audit data, stakeholder outcomes, and sustainability plan for ongoing Medicaid compliance monitoring.</w:t>
            </w:r>
          </w:p>
          <w:p w14:paraId="09F6A240" w14:textId="77777777" w:rsidR="00BD3DE6" w:rsidRPr="00990078" w:rsidRDefault="00BD3DE6" w:rsidP="00D53CC6">
            <w:pPr>
              <w:rPr>
                <w:rFonts w:ascii="Garamond" w:hAnsi="Garamond" w:cs="Times New Roman"/>
                <w:sz w:val="24"/>
                <w:szCs w:val="24"/>
                <w:lang w:val="en-US"/>
              </w:rPr>
            </w:pPr>
          </w:p>
        </w:tc>
      </w:tr>
      <w:tr w:rsidR="00BD3DE6" w:rsidRPr="00990078" w14:paraId="2174F16B" w14:textId="77777777" w:rsidTr="00D53CC6">
        <w:tc>
          <w:tcPr>
            <w:tcW w:w="9805" w:type="dxa"/>
            <w:gridSpan w:val="3"/>
            <w:tcBorders>
              <w:top w:val="single" w:sz="4" w:space="0" w:color="auto"/>
              <w:left w:val="single" w:sz="4" w:space="0" w:color="auto"/>
              <w:bottom w:val="single" w:sz="4" w:space="0" w:color="auto"/>
              <w:right w:val="single" w:sz="4" w:space="0" w:color="auto"/>
            </w:tcBorders>
            <w:shd w:val="clear" w:color="auto" w:fill="E8E8E8" w:themeFill="background2"/>
            <w:hideMark/>
          </w:tcPr>
          <w:p w14:paraId="07D8C11C" w14:textId="77777777" w:rsidR="00BD3DE6" w:rsidRPr="00990078" w:rsidRDefault="00BD3DE6" w:rsidP="00D53CC6">
            <w:pPr>
              <w:rPr>
                <w:rFonts w:ascii="Garamond" w:hAnsi="Garamond" w:cs="Times New Roman"/>
                <w:b/>
                <w:bCs/>
                <w:sz w:val="24"/>
                <w:szCs w:val="24"/>
                <w:lang w:val="en-US"/>
              </w:rPr>
            </w:pPr>
            <w:r w:rsidRPr="00990078">
              <w:rPr>
                <w:rFonts w:ascii="Garamond" w:hAnsi="Garamond" w:cs="Times New Roman"/>
                <w:b/>
                <w:bCs/>
                <w:sz w:val="24"/>
                <w:szCs w:val="24"/>
                <w:lang w:val="en-US"/>
              </w:rPr>
              <w:t>Training and Pilot Phase</w:t>
            </w:r>
          </w:p>
        </w:tc>
      </w:tr>
      <w:tr w:rsidR="00BD3DE6" w:rsidRPr="00990078" w14:paraId="55FB7A63"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1E5E49B9"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Staff Training and Pilot Testing at One Clinic</w:t>
            </w:r>
          </w:p>
        </w:tc>
        <w:tc>
          <w:tcPr>
            <w:tcW w:w="1381" w:type="dxa"/>
            <w:tcBorders>
              <w:top w:val="single" w:sz="4" w:space="0" w:color="auto"/>
              <w:left w:val="single" w:sz="4" w:space="0" w:color="auto"/>
              <w:bottom w:val="single" w:sz="4" w:space="0" w:color="auto"/>
              <w:right w:val="single" w:sz="4" w:space="0" w:color="auto"/>
            </w:tcBorders>
            <w:hideMark/>
          </w:tcPr>
          <w:p w14:paraId="223F0C5C"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January-February 2026</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BD3DE6" w:rsidRPr="00990078" w14:paraId="482AC35A" w14:textId="77777777" w:rsidTr="00D53CC6">
              <w:trPr>
                <w:tblCellSpacing w:w="15" w:type="dxa"/>
              </w:trPr>
              <w:tc>
                <w:tcPr>
                  <w:tcW w:w="0" w:type="auto"/>
                  <w:tcMar>
                    <w:top w:w="15" w:type="dxa"/>
                    <w:left w:w="15" w:type="dxa"/>
                    <w:bottom w:w="15" w:type="dxa"/>
                    <w:right w:w="15" w:type="dxa"/>
                  </w:tcMar>
                  <w:vAlign w:val="center"/>
                  <w:hideMark/>
                </w:tcPr>
                <w:p w14:paraId="67C9EA34" w14:textId="77777777" w:rsidR="00BD3DE6" w:rsidRPr="00990078" w:rsidRDefault="00BD3DE6" w:rsidP="00D53CC6">
                  <w:pPr>
                    <w:rPr>
                      <w:rFonts w:ascii="Garamond" w:hAnsi="Garamond" w:cs="Times New Roman"/>
                    </w:rPr>
                  </w:pPr>
                  <w:r w:rsidRPr="00990078">
                    <w:rPr>
                      <w:rFonts w:ascii="Garamond" w:hAnsi="Garamond" w:cs="Times New Roman"/>
                    </w:rPr>
                    <w:t>Conduct BST-based training, pilot test new template and checklist, and refine tools.</w:t>
                  </w:r>
                </w:p>
              </w:tc>
            </w:tr>
          </w:tbl>
          <w:p w14:paraId="2B953434"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2D4542B6" w14:textId="77777777" w:rsidTr="00D53CC6">
              <w:trPr>
                <w:tblCellSpacing w:w="15" w:type="dxa"/>
                <w:hidden/>
              </w:trPr>
              <w:tc>
                <w:tcPr>
                  <w:tcW w:w="0" w:type="auto"/>
                  <w:tcMar>
                    <w:top w:w="15" w:type="dxa"/>
                    <w:left w:w="15" w:type="dxa"/>
                    <w:bottom w:w="15" w:type="dxa"/>
                    <w:right w:w="15" w:type="dxa"/>
                  </w:tcMar>
                  <w:vAlign w:val="center"/>
                  <w:hideMark/>
                </w:tcPr>
                <w:p w14:paraId="160086EF" w14:textId="77777777" w:rsidR="00BD3DE6" w:rsidRPr="00990078" w:rsidRDefault="00BD3DE6" w:rsidP="00D53CC6">
                  <w:pPr>
                    <w:rPr>
                      <w:rFonts w:ascii="Garamond" w:hAnsi="Garamond" w:cs="Times New Roman"/>
                      <w:vanish/>
                    </w:rPr>
                  </w:pPr>
                </w:p>
              </w:tc>
            </w:tr>
          </w:tbl>
          <w:p w14:paraId="551D0952" w14:textId="77777777" w:rsidR="00BD3DE6" w:rsidRPr="00990078" w:rsidRDefault="00BD3DE6" w:rsidP="00D53CC6">
            <w:pPr>
              <w:rPr>
                <w:rFonts w:ascii="Garamond" w:hAnsi="Garamond" w:cs="Times New Roman"/>
                <w:sz w:val="24"/>
                <w:szCs w:val="24"/>
                <w:lang w:val="en-US"/>
              </w:rPr>
            </w:pPr>
          </w:p>
        </w:tc>
      </w:tr>
      <w:tr w:rsidR="00BD3DE6" w:rsidRPr="00990078" w14:paraId="40C7985F" w14:textId="77777777" w:rsidTr="00D53CC6">
        <w:tc>
          <w:tcPr>
            <w:tcW w:w="9805" w:type="dxa"/>
            <w:gridSpan w:val="3"/>
            <w:tcBorders>
              <w:top w:val="single" w:sz="4" w:space="0" w:color="auto"/>
              <w:left w:val="single" w:sz="4" w:space="0" w:color="auto"/>
              <w:bottom w:val="single" w:sz="4" w:space="0" w:color="auto"/>
              <w:right w:val="single" w:sz="4" w:space="0" w:color="auto"/>
            </w:tcBorders>
            <w:shd w:val="clear" w:color="auto" w:fill="E8E8E8" w:themeFill="background2"/>
            <w:hideMark/>
          </w:tcPr>
          <w:p w14:paraId="2B92FB83" w14:textId="77777777" w:rsidR="00BD3DE6" w:rsidRPr="00990078" w:rsidRDefault="00BD3DE6" w:rsidP="00D53CC6">
            <w:pPr>
              <w:rPr>
                <w:rFonts w:ascii="Garamond" w:hAnsi="Garamond" w:cs="Times New Roman"/>
                <w:b/>
                <w:bCs/>
                <w:sz w:val="24"/>
                <w:szCs w:val="24"/>
                <w:lang w:val="en-US"/>
              </w:rPr>
            </w:pPr>
            <w:r w:rsidRPr="00990078">
              <w:rPr>
                <w:rFonts w:ascii="Garamond" w:hAnsi="Garamond" w:cs="Times New Roman"/>
                <w:b/>
                <w:bCs/>
                <w:sz w:val="24"/>
                <w:szCs w:val="24"/>
                <w:lang w:val="en-US"/>
              </w:rPr>
              <w:t>Rollout Phase</w:t>
            </w:r>
          </w:p>
        </w:tc>
      </w:tr>
      <w:tr w:rsidR="00BD3DE6" w:rsidRPr="00990078" w14:paraId="4168AE17"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442D4ECD"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Full System-Wide Implementation</w:t>
            </w:r>
          </w:p>
        </w:tc>
        <w:tc>
          <w:tcPr>
            <w:tcW w:w="1381" w:type="dxa"/>
            <w:tcBorders>
              <w:top w:val="single" w:sz="4" w:space="0" w:color="auto"/>
              <w:left w:val="single" w:sz="4" w:space="0" w:color="auto"/>
              <w:bottom w:val="single" w:sz="4" w:space="0" w:color="auto"/>
              <w:right w:val="single" w:sz="4" w:space="0" w:color="auto"/>
            </w:tcBorders>
            <w:hideMark/>
          </w:tcPr>
          <w:p w14:paraId="1934E398"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March 2026</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BD3DE6" w:rsidRPr="00990078" w14:paraId="703DF492" w14:textId="77777777" w:rsidTr="00D53CC6">
              <w:trPr>
                <w:tblCellSpacing w:w="15" w:type="dxa"/>
              </w:trPr>
              <w:tc>
                <w:tcPr>
                  <w:tcW w:w="0" w:type="auto"/>
                  <w:tcMar>
                    <w:top w:w="15" w:type="dxa"/>
                    <w:left w:w="15" w:type="dxa"/>
                    <w:bottom w:w="15" w:type="dxa"/>
                    <w:right w:w="15" w:type="dxa"/>
                  </w:tcMar>
                  <w:vAlign w:val="center"/>
                  <w:hideMark/>
                </w:tcPr>
                <w:p w14:paraId="1D0BFEE2" w14:textId="77777777" w:rsidR="00BD3DE6" w:rsidRPr="00990078" w:rsidRDefault="00BD3DE6" w:rsidP="00D53CC6">
                  <w:pPr>
                    <w:rPr>
                      <w:rFonts w:ascii="Garamond" w:hAnsi="Garamond" w:cs="Times New Roman"/>
                    </w:rPr>
                  </w:pPr>
                  <w:r w:rsidRPr="00990078">
                    <w:rPr>
                      <w:rFonts w:ascii="Garamond" w:hAnsi="Garamond" w:cs="Times New Roman"/>
                    </w:rPr>
                    <w:t>Launch checklist and EHR template across all sites. Assign super-users for ongoing support.</w:t>
                  </w:r>
                </w:p>
              </w:tc>
            </w:tr>
          </w:tbl>
          <w:p w14:paraId="13DC8864"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732A2FD4" w14:textId="77777777" w:rsidTr="00D53CC6">
              <w:trPr>
                <w:tblCellSpacing w:w="15" w:type="dxa"/>
                <w:hidden/>
              </w:trPr>
              <w:tc>
                <w:tcPr>
                  <w:tcW w:w="0" w:type="auto"/>
                  <w:tcMar>
                    <w:top w:w="15" w:type="dxa"/>
                    <w:left w:w="15" w:type="dxa"/>
                    <w:bottom w:w="15" w:type="dxa"/>
                    <w:right w:w="15" w:type="dxa"/>
                  </w:tcMar>
                  <w:vAlign w:val="center"/>
                  <w:hideMark/>
                </w:tcPr>
                <w:p w14:paraId="0E6927D8" w14:textId="77777777" w:rsidR="00BD3DE6" w:rsidRPr="00990078" w:rsidRDefault="00BD3DE6" w:rsidP="00D53CC6">
                  <w:pPr>
                    <w:rPr>
                      <w:rFonts w:ascii="Garamond" w:hAnsi="Garamond" w:cs="Times New Roman"/>
                      <w:vanish/>
                    </w:rPr>
                  </w:pPr>
                </w:p>
              </w:tc>
            </w:tr>
          </w:tbl>
          <w:p w14:paraId="3479D838" w14:textId="77777777" w:rsidR="00BD3DE6" w:rsidRPr="00990078" w:rsidRDefault="00BD3DE6" w:rsidP="00D53CC6">
            <w:pPr>
              <w:rPr>
                <w:rFonts w:ascii="Garamond" w:hAnsi="Garamond" w:cs="Times New Roman"/>
                <w:sz w:val="24"/>
                <w:szCs w:val="24"/>
                <w:lang w:val="en-US"/>
              </w:rPr>
            </w:pPr>
          </w:p>
        </w:tc>
      </w:tr>
      <w:tr w:rsidR="00BD3DE6" w:rsidRPr="00990078" w14:paraId="60E9B328"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67EB88B6"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 xml:space="preserve">Monthly Compliance </w:t>
            </w:r>
            <w:r w:rsidRPr="00990078">
              <w:rPr>
                <w:rFonts w:ascii="Garamond" w:hAnsi="Garamond" w:cs="Times New Roman"/>
                <w:sz w:val="24"/>
                <w:szCs w:val="24"/>
                <w:lang w:val="en-US"/>
              </w:rPr>
              <w:lastRenderedPageBreak/>
              <w:t>Audits and Feedback</w:t>
            </w:r>
          </w:p>
        </w:tc>
        <w:tc>
          <w:tcPr>
            <w:tcW w:w="1381" w:type="dxa"/>
            <w:tcBorders>
              <w:top w:val="single" w:sz="4" w:space="0" w:color="auto"/>
              <w:left w:val="single" w:sz="4" w:space="0" w:color="auto"/>
              <w:bottom w:val="single" w:sz="4" w:space="0" w:color="auto"/>
              <w:right w:val="single" w:sz="4" w:space="0" w:color="auto"/>
            </w:tcBorders>
            <w:hideMark/>
          </w:tcPr>
          <w:p w14:paraId="51E89E95"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lastRenderedPageBreak/>
              <w:t>April-June 2026</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BD3DE6" w:rsidRPr="00990078" w14:paraId="21A31838" w14:textId="77777777" w:rsidTr="00D53CC6">
              <w:trPr>
                <w:tblCellSpacing w:w="15" w:type="dxa"/>
              </w:trPr>
              <w:tc>
                <w:tcPr>
                  <w:tcW w:w="0" w:type="auto"/>
                  <w:tcMar>
                    <w:top w:w="15" w:type="dxa"/>
                    <w:left w:w="15" w:type="dxa"/>
                    <w:bottom w:w="15" w:type="dxa"/>
                    <w:right w:w="15" w:type="dxa"/>
                  </w:tcMar>
                  <w:vAlign w:val="center"/>
                  <w:hideMark/>
                </w:tcPr>
                <w:p w14:paraId="6418AC9E" w14:textId="77777777" w:rsidR="00BD3DE6" w:rsidRPr="00990078" w:rsidRDefault="00BD3DE6" w:rsidP="00D53CC6">
                  <w:pPr>
                    <w:rPr>
                      <w:rFonts w:ascii="Garamond" w:hAnsi="Garamond" w:cs="Times New Roman"/>
                    </w:rPr>
                  </w:pPr>
                  <w:r w:rsidRPr="00990078">
                    <w:rPr>
                      <w:rFonts w:ascii="Garamond" w:hAnsi="Garamond" w:cs="Times New Roman"/>
                    </w:rPr>
                    <w:t>Conduct monthly DCAT audits, provide feedback, and monitor compliance trends.</w:t>
                  </w:r>
                </w:p>
              </w:tc>
            </w:tr>
            <w:tr w:rsidR="00BD3DE6" w:rsidRPr="00990078" w14:paraId="50BCF227" w14:textId="77777777" w:rsidTr="00D53CC6">
              <w:trPr>
                <w:tblCellSpacing w:w="15" w:type="dxa"/>
              </w:trPr>
              <w:tc>
                <w:tcPr>
                  <w:tcW w:w="0" w:type="auto"/>
                  <w:tcMar>
                    <w:top w:w="15" w:type="dxa"/>
                    <w:left w:w="15" w:type="dxa"/>
                    <w:bottom w:w="15" w:type="dxa"/>
                    <w:right w:w="15" w:type="dxa"/>
                  </w:tcMar>
                  <w:vAlign w:val="center"/>
                </w:tcPr>
                <w:p w14:paraId="08E4E8A0" w14:textId="77777777" w:rsidR="00BD3DE6" w:rsidRPr="00990078" w:rsidRDefault="00BD3DE6" w:rsidP="00D53CC6">
                  <w:pPr>
                    <w:rPr>
                      <w:rFonts w:ascii="Garamond" w:hAnsi="Garamond" w:cs="Times New Roman"/>
                    </w:rPr>
                  </w:pPr>
                </w:p>
              </w:tc>
            </w:tr>
            <w:tr w:rsidR="00BD3DE6" w:rsidRPr="00990078" w14:paraId="2AC30DD2" w14:textId="77777777" w:rsidTr="00D53CC6">
              <w:trPr>
                <w:tblCellSpacing w:w="15" w:type="dxa"/>
              </w:trPr>
              <w:tc>
                <w:tcPr>
                  <w:tcW w:w="0" w:type="auto"/>
                  <w:tcMar>
                    <w:top w:w="15" w:type="dxa"/>
                    <w:left w:w="15" w:type="dxa"/>
                    <w:bottom w:w="15" w:type="dxa"/>
                    <w:right w:w="15" w:type="dxa"/>
                  </w:tcMar>
                  <w:vAlign w:val="center"/>
                </w:tcPr>
                <w:p w14:paraId="7BA2AC90" w14:textId="77777777" w:rsidR="00BD3DE6" w:rsidRPr="00990078" w:rsidRDefault="00BD3DE6" w:rsidP="00D53CC6">
                  <w:pPr>
                    <w:rPr>
                      <w:rFonts w:ascii="Garamond" w:hAnsi="Garamond" w:cs="Times New Roman"/>
                    </w:rPr>
                  </w:pPr>
                </w:p>
              </w:tc>
            </w:tr>
            <w:tr w:rsidR="00BD3DE6" w:rsidRPr="00990078" w14:paraId="50C5F452" w14:textId="77777777" w:rsidTr="00D53CC6">
              <w:trPr>
                <w:tblCellSpacing w:w="15" w:type="dxa"/>
              </w:trPr>
              <w:tc>
                <w:tcPr>
                  <w:tcW w:w="0" w:type="auto"/>
                  <w:tcMar>
                    <w:top w:w="15" w:type="dxa"/>
                    <w:left w:w="15" w:type="dxa"/>
                    <w:bottom w:w="15" w:type="dxa"/>
                    <w:right w:w="15" w:type="dxa"/>
                  </w:tcMar>
                  <w:vAlign w:val="center"/>
                </w:tcPr>
                <w:p w14:paraId="17F5EE5C" w14:textId="77777777" w:rsidR="00BD3DE6" w:rsidRPr="00990078" w:rsidRDefault="00BD3DE6" w:rsidP="00D53CC6">
                  <w:pPr>
                    <w:rPr>
                      <w:rFonts w:ascii="Garamond" w:hAnsi="Garamond" w:cs="Times New Roman"/>
                    </w:rPr>
                  </w:pPr>
                </w:p>
              </w:tc>
            </w:tr>
          </w:tbl>
          <w:p w14:paraId="553AD0C5"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4A0A9DF2" w14:textId="77777777" w:rsidTr="00D53CC6">
              <w:trPr>
                <w:tblCellSpacing w:w="15" w:type="dxa"/>
                <w:hidden/>
              </w:trPr>
              <w:tc>
                <w:tcPr>
                  <w:tcW w:w="0" w:type="auto"/>
                  <w:tcMar>
                    <w:top w:w="15" w:type="dxa"/>
                    <w:left w:w="15" w:type="dxa"/>
                    <w:bottom w:w="15" w:type="dxa"/>
                    <w:right w:w="15" w:type="dxa"/>
                  </w:tcMar>
                  <w:vAlign w:val="center"/>
                  <w:hideMark/>
                </w:tcPr>
                <w:p w14:paraId="4C67ED62" w14:textId="77777777" w:rsidR="00BD3DE6" w:rsidRPr="00990078" w:rsidRDefault="00BD3DE6" w:rsidP="00D53CC6">
                  <w:pPr>
                    <w:rPr>
                      <w:rFonts w:ascii="Garamond" w:hAnsi="Garamond" w:cs="Times New Roman"/>
                      <w:vanish/>
                    </w:rPr>
                  </w:pPr>
                </w:p>
              </w:tc>
            </w:tr>
          </w:tbl>
          <w:p w14:paraId="145A227C" w14:textId="77777777" w:rsidR="00BD3DE6" w:rsidRPr="00990078" w:rsidRDefault="00BD3DE6" w:rsidP="00D53CC6">
            <w:pPr>
              <w:rPr>
                <w:rFonts w:ascii="Garamond" w:hAnsi="Garamond" w:cs="Times New Roman"/>
                <w:sz w:val="24"/>
                <w:szCs w:val="24"/>
                <w:lang w:val="en-US"/>
              </w:rPr>
            </w:pPr>
          </w:p>
        </w:tc>
      </w:tr>
      <w:tr w:rsidR="00BD3DE6" w:rsidRPr="00990078" w14:paraId="6B4BE9CF" w14:textId="77777777" w:rsidTr="00D53CC6">
        <w:tc>
          <w:tcPr>
            <w:tcW w:w="9805" w:type="dxa"/>
            <w:gridSpan w:val="3"/>
            <w:tcBorders>
              <w:top w:val="single" w:sz="4" w:space="0" w:color="auto"/>
              <w:left w:val="single" w:sz="4" w:space="0" w:color="auto"/>
              <w:bottom w:val="single" w:sz="4" w:space="0" w:color="auto"/>
              <w:right w:val="single" w:sz="4" w:space="0" w:color="auto"/>
            </w:tcBorders>
            <w:shd w:val="clear" w:color="auto" w:fill="E8E8E8" w:themeFill="background2"/>
            <w:hideMark/>
          </w:tcPr>
          <w:p w14:paraId="008AE3A5" w14:textId="77777777" w:rsidR="00BD3DE6" w:rsidRPr="00990078" w:rsidRDefault="00BD3DE6" w:rsidP="00D53CC6">
            <w:pPr>
              <w:rPr>
                <w:rFonts w:ascii="Garamond" w:hAnsi="Garamond" w:cs="Times New Roman"/>
                <w:b/>
                <w:bCs/>
                <w:sz w:val="24"/>
                <w:szCs w:val="24"/>
                <w:lang w:val="en-US"/>
              </w:rPr>
            </w:pPr>
            <w:r w:rsidRPr="00990078">
              <w:rPr>
                <w:rFonts w:ascii="Garamond" w:hAnsi="Garamond" w:cs="Times New Roman"/>
                <w:b/>
                <w:bCs/>
                <w:sz w:val="24"/>
                <w:szCs w:val="24"/>
                <w:lang w:val="en-US"/>
              </w:rPr>
              <w:t>Evaluation and Sustainment</w:t>
            </w:r>
          </w:p>
        </w:tc>
      </w:tr>
      <w:tr w:rsidR="00BD3DE6" w:rsidRPr="00990078" w14:paraId="32C210A1" w14:textId="77777777" w:rsidTr="00D53CC6">
        <w:tc>
          <w:tcPr>
            <w:tcW w:w="1872" w:type="dxa"/>
            <w:tcBorders>
              <w:top w:val="single" w:sz="4" w:space="0" w:color="auto"/>
              <w:left w:val="single" w:sz="4" w:space="0" w:color="auto"/>
              <w:bottom w:val="single" w:sz="4" w:space="0" w:color="auto"/>
              <w:right w:val="single" w:sz="4" w:space="0" w:color="auto"/>
            </w:tcBorders>
            <w:hideMark/>
          </w:tcPr>
          <w:p w14:paraId="5A55A53B"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Final Analysis and Reporting</w:t>
            </w:r>
          </w:p>
        </w:tc>
        <w:tc>
          <w:tcPr>
            <w:tcW w:w="1381" w:type="dxa"/>
            <w:tcBorders>
              <w:top w:val="single" w:sz="4" w:space="0" w:color="auto"/>
              <w:left w:val="single" w:sz="4" w:space="0" w:color="auto"/>
              <w:bottom w:val="single" w:sz="4" w:space="0" w:color="auto"/>
              <w:right w:val="single" w:sz="4" w:space="0" w:color="auto"/>
            </w:tcBorders>
            <w:hideMark/>
          </w:tcPr>
          <w:p w14:paraId="22B0B78E"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July 2026</w:t>
            </w:r>
          </w:p>
        </w:tc>
        <w:tc>
          <w:tcPr>
            <w:tcW w:w="6552" w:type="dxa"/>
            <w:tcBorders>
              <w:top w:val="single" w:sz="4" w:space="0" w:color="auto"/>
              <w:left w:val="single" w:sz="4" w:space="0" w:color="auto"/>
              <w:bottom w:val="single" w:sz="4" w:space="0" w:color="auto"/>
              <w:right w:val="single" w:sz="4" w:space="0" w:color="auto"/>
            </w:tcBorders>
          </w:tcPr>
          <w:p w14:paraId="707E845F"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Evaluate final compliance outcomes, summarize findings, and develop sustainability plan.</w:t>
            </w:r>
          </w:p>
          <w:p w14:paraId="40A91CC9" w14:textId="77777777" w:rsidR="00BD3DE6" w:rsidRPr="00990078" w:rsidRDefault="00BD3DE6" w:rsidP="00D53CC6">
            <w:pPr>
              <w:rPr>
                <w:rFonts w:ascii="Garamond" w:hAnsi="Garamond" w:cs="Times New Roman"/>
                <w:sz w:val="24"/>
                <w:szCs w:val="24"/>
                <w:lang w:val="en-US"/>
              </w:rPr>
            </w:pPr>
          </w:p>
        </w:tc>
      </w:tr>
    </w:tbl>
    <w:p w14:paraId="5A04C083" w14:textId="77777777" w:rsidR="00BD3DE6" w:rsidRPr="00990078" w:rsidRDefault="00BD3DE6" w:rsidP="00BD3DE6">
      <w:pPr>
        <w:rPr>
          <w:rFonts w:ascii="Garamond" w:hAnsi="Garamond" w:cs="Times New Roman"/>
        </w:rPr>
      </w:pPr>
    </w:p>
    <w:p w14:paraId="035A3B22" w14:textId="77777777" w:rsidR="00BD3DE6" w:rsidRPr="00990078" w:rsidRDefault="00BD3DE6" w:rsidP="00BD3DE6">
      <w:pPr>
        <w:rPr>
          <w:rFonts w:ascii="Garamond" w:hAnsi="Garamond" w:cs="Times New Roman"/>
        </w:rPr>
      </w:pPr>
      <w:r w:rsidRPr="00990078">
        <w:rPr>
          <w:rFonts w:ascii="Garamond" w:hAnsi="Garamond" w:cs="Times New Roman"/>
        </w:rPr>
        <w:br w:type="page"/>
      </w:r>
    </w:p>
    <w:tbl>
      <w:tblPr>
        <w:tblStyle w:val="TableGrid"/>
        <w:tblW w:w="10525" w:type="dxa"/>
        <w:tblLook w:val="04A0" w:firstRow="1" w:lastRow="0" w:firstColumn="1" w:lastColumn="0" w:noHBand="0" w:noVBand="1"/>
      </w:tblPr>
      <w:tblGrid>
        <w:gridCol w:w="2519"/>
        <w:gridCol w:w="2066"/>
        <w:gridCol w:w="1481"/>
        <w:gridCol w:w="4459"/>
      </w:tblGrid>
      <w:tr w:rsidR="00BD3DE6" w:rsidRPr="00990078" w14:paraId="6CB4B64A" w14:textId="77777777" w:rsidTr="00D53CC6">
        <w:tc>
          <w:tcPr>
            <w:tcW w:w="251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379B3D27" w14:textId="77777777" w:rsidR="00BD3DE6" w:rsidRPr="00990078" w:rsidRDefault="00BD3DE6" w:rsidP="00D53CC6">
            <w:pPr>
              <w:rPr>
                <w:rFonts w:ascii="Garamond" w:hAnsi="Garamond" w:cs="Times New Roman"/>
                <w:b/>
                <w:bCs/>
                <w:sz w:val="24"/>
                <w:szCs w:val="24"/>
                <w:lang w:val="en-US"/>
              </w:rPr>
            </w:pPr>
            <w:r w:rsidRPr="00990078">
              <w:rPr>
                <w:rFonts w:ascii="Garamond" w:hAnsi="Garamond" w:cs="Times New Roman"/>
                <w:b/>
                <w:bCs/>
                <w:sz w:val="24"/>
                <w:szCs w:val="24"/>
                <w:lang w:val="en-US"/>
              </w:rPr>
              <w:lastRenderedPageBreak/>
              <w:t>Phase</w:t>
            </w:r>
          </w:p>
        </w:tc>
        <w:tc>
          <w:tcPr>
            <w:tcW w:w="2066"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5985C4AD" w14:textId="77777777" w:rsidR="00BD3DE6" w:rsidRPr="00990078" w:rsidRDefault="00BD3DE6" w:rsidP="00D53CC6">
            <w:pPr>
              <w:rPr>
                <w:rFonts w:ascii="Garamond" w:hAnsi="Garamond" w:cs="Times New Roman"/>
                <w:b/>
                <w:bCs/>
                <w:sz w:val="24"/>
                <w:szCs w:val="24"/>
                <w:lang w:val="en-US"/>
              </w:rPr>
            </w:pPr>
            <w:r w:rsidRPr="00990078">
              <w:rPr>
                <w:rFonts w:ascii="Garamond" w:hAnsi="Garamond" w:cs="Times New Roman"/>
                <w:b/>
                <w:bCs/>
                <w:sz w:val="24"/>
                <w:szCs w:val="24"/>
                <w:lang w:val="en-US"/>
              </w:rPr>
              <w:t xml:space="preserve">Task Description </w:t>
            </w:r>
          </w:p>
        </w:tc>
        <w:tc>
          <w:tcPr>
            <w:tcW w:w="1481"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BD713EF" w14:textId="77777777" w:rsidR="00BD3DE6" w:rsidRPr="00990078" w:rsidRDefault="00BD3DE6" w:rsidP="00D53CC6">
            <w:pPr>
              <w:rPr>
                <w:rFonts w:ascii="Garamond" w:hAnsi="Garamond" w:cs="Times New Roman"/>
                <w:b/>
                <w:bCs/>
                <w:sz w:val="24"/>
                <w:szCs w:val="24"/>
                <w:lang w:val="en-US"/>
              </w:rPr>
            </w:pPr>
            <w:r w:rsidRPr="00990078">
              <w:rPr>
                <w:rFonts w:ascii="Garamond" w:hAnsi="Garamond" w:cs="Times New Roman"/>
                <w:b/>
                <w:bCs/>
                <w:sz w:val="24"/>
                <w:szCs w:val="24"/>
                <w:lang w:val="en-US"/>
              </w:rPr>
              <w:t>Anticipated Date</w:t>
            </w:r>
          </w:p>
        </w:tc>
        <w:tc>
          <w:tcPr>
            <w:tcW w:w="445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0524B808" w14:textId="77777777" w:rsidR="00BD3DE6" w:rsidRPr="00990078" w:rsidRDefault="00BD3DE6" w:rsidP="00D53CC6">
            <w:pPr>
              <w:rPr>
                <w:rFonts w:ascii="Garamond" w:hAnsi="Garamond" w:cs="Times New Roman"/>
                <w:b/>
                <w:bCs/>
                <w:sz w:val="24"/>
                <w:szCs w:val="24"/>
                <w:lang w:val="en-US"/>
              </w:rPr>
            </w:pPr>
            <w:r w:rsidRPr="00990078">
              <w:rPr>
                <w:rFonts w:ascii="Garamond" w:hAnsi="Garamond" w:cs="Times New Roman"/>
                <w:b/>
                <w:bCs/>
                <w:sz w:val="24"/>
                <w:szCs w:val="24"/>
                <w:lang w:val="en-US"/>
              </w:rPr>
              <w:t>Milestones/Notes</w:t>
            </w:r>
          </w:p>
        </w:tc>
      </w:tr>
      <w:tr w:rsidR="00BD3DE6" w:rsidRPr="00990078" w14:paraId="7BA694E3" w14:textId="77777777" w:rsidTr="00D53CC6">
        <w:tc>
          <w:tcPr>
            <w:tcW w:w="2519" w:type="dxa"/>
            <w:tcBorders>
              <w:top w:val="single" w:sz="4" w:space="0" w:color="auto"/>
              <w:left w:val="single" w:sz="4" w:space="0" w:color="auto"/>
              <w:bottom w:val="single" w:sz="4" w:space="0" w:color="auto"/>
              <w:right w:val="single" w:sz="4" w:space="0" w:color="auto"/>
            </w:tcBorders>
          </w:tcPr>
          <w:p w14:paraId="6BC2153D"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Pre-Data Collection</w:t>
            </w:r>
          </w:p>
          <w:p w14:paraId="0FB5B5C8" w14:textId="77777777" w:rsidR="00BD3DE6" w:rsidRPr="00990078" w:rsidRDefault="00BD3DE6" w:rsidP="00D53CC6">
            <w:pPr>
              <w:rPr>
                <w:rFonts w:ascii="Garamond" w:hAnsi="Garamond" w:cs="Times New Roman"/>
                <w:sz w:val="24"/>
                <w:szCs w:val="24"/>
                <w:lang w:val="en-US"/>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BD3DE6" w:rsidRPr="00990078" w14:paraId="56720281" w14:textId="77777777" w:rsidTr="00D53CC6">
              <w:trPr>
                <w:tblCellSpacing w:w="15" w:type="dxa"/>
              </w:trPr>
              <w:tc>
                <w:tcPr>
                  <w:tcW w:w="0" w:type="auto"/>
                  <w:tcMar>
                    <w:top w:w="15" w:type="dxa"/>
                    <w:left w:w="15" w:type="dxa"/>
                    <w:bottom w:w="15" w:type="dxa"/>
                    <w:right w:w="15" w:type="dxa"/>
                  </w:tcMar>
                  <w:vAlign w:val="center"/>
                  <w:hideMark/>
                </w:tcPr>
                <w:p w14:paraId="490B6D6E" w14:textId="77777777" w:rsidR="00BD3DE6" w:rsidRPr="00990078" w:rsidRDefault="00BD3DE6" w:rsidP="00D53CC6">
                  <w:pPr>
                    <w:rPr>
                      <w:rFonts w:ascii="Garamond" w:hAnsi="Garamond" w:cs="Times New Roman"/>
                    </w:rPr>
                  </w:pPr>
                  <w:r w:rsidRPr="00990078">
                    <w:rPr>
                      <w:rFonts w:ascii="Garamond" w:hAnsi="Garamond" w:cs="Times New Roman"/>
                    </w:rPr>
                    <w:t>Conduct baseline audit of 90 days of Medicaid-billed ABA session notes to identify common documentation errors and calculate baseline compliance rate.</w:t>
                  </w:r>
                </w:p>
              </w:tc>
            </w:tr>
          </w:tbl>
          <w:p w14:paraId="6ED6FE21"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5B5472EE" w14:textId="77777777" w:rsidTr="00D53CC6">
              <w:trPr>
                <w:tblCellSpacing w:w="15" w:type="dxa"/>
                <w:hidden/>
              </w:trPr>
              <w:tc>
                <w:tcPr>
                  <w:tcW w:w="0" w:type="auto"/>
                  <w:tcMar>
                    <w:top w:w="15" w:type="dxa"/>
                    <w:left w:w="15" w:type="dxa"/>
                    <w:bottom w:w="15" w:type="dxa"/>
                    <w:right w:w="15" w:type="dxa"/>
                  </w:tcMar>
                  <w:vAlign w:val="center"/>
                  <w:hideMark/>
                </w:tcPr>
                <w:p w14:paraId="48E02E13" w14:textId="77777777" w:rsidR="00BD3DE6" w:rsidRPr="00990078" w:rsidRDefault="00BD3DE6" w:rsidP="00D53CC6">
                  <w:pPr>
                    <w:rPr>
                      <w:rFonts w:ascii="Garamond" w:hAnsi="Garamond" w:cs="Times New Roman"/>
                      <w:vanish/>
                    </w:rPr>
                  </w:pPr>
                </w:p>
              </w:tc>
            </w:tr>
          </w:tbl>
          <w:p w14:paraId="51CA011B" w14:textId="77777777" w:rsidR="00BD3DE6" w:rsidRPr="00990078" w:rsidRDefault="00BD3DE6" w:rsidP="00D53CC6">
            <w:pPr>
              <w:rPr>
                <w:rFonts w:ascii="Garamond" w:hAnsi="Garamond" w:cs="Times New Roman"/>
                <w:sz w:val="24"/>
                <w:szCs w:val="24"/>
                <w:lang w:val="en-US"/>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265"/>
            </w:tblGrid>
            <w:tr w:rsidR="00BD3DE6" w:rsidRPr="00990078" w14:paraId="0DCC52E4" w14:textId="77777777" w:rsidTr="00D53CC6">
              <w:trPr>
                <w:tblCellSpacing w:w="15" w:type="dxa"/>
              </w:trPr>
              <w:tc>
                <w:tcPr>
                  <w:tcW w:w="0" w:type="auto"/>
                  <w:tcMar>
                    <w:top w:w="15" w:type="dxa"/>
                    <w:left w:w="15" w:type="dxa"/>
                    <w:bottom w:w="15" w:type="dxa"/>
                    <w:right w:w="15" w:type="dxa"/>
                  </w:tcMar>
                  <w:vAlign w:val="center"/>
                  <w:hideMark/>
                </w:tcPr>
                <w:p w14:paraId="4D99512F" w14:textId="77777777" w:rsidR="00BD3DE6" w:rsidRPr="00990078" w:rsidRDefault="00BD3DE6" w:rsidP="00D53CC6">
                  <w:pPr>
                    <w:rPr>
                      <w:rFonts w:ascii="Garamond" w:hAnsi="Garamond" w:cs="Times New Roman"/>
                    </w:rPr>
                  </w:pPr>
                  <w:r w:rsidRPr="00990078">
                    <w:rPr>
                      <w:rFonts w:ascii="Garamond" w:hAnsi="Garamond" w:cs="Times New Roman"/>
                    </w:rPr>
                    <w:t>December 2025 – January 2026</w:t>
                  </w:r>
                </w:p>
              </w:tc>
            </w:tr>
          </w:tbl>
          <w:p w14:paraId="7294ADFF"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61E7B7F4" w14:textId="77777777" w:rsidTr="00D53CC6">
              <w:trPr>
                <w:tblCellSpacing w:w="15" w:type="dxa"/>
                <w:hidden/>
              </w:trPr>
              <w:tc>
                <w:tcPr>
                  <w:tcW w:w="0" w:type="auto"/>
                  <w:tcMar>
                    <w:top w:w="15" w:type="dxa"/>
                    <w:left w:w="15" w:type="dxa"/>
                    <w:bottom w:w="15" w:type="dxa"/>
                    <w:right w:w="15" w:type="dxa"/>
                  </w:tcMar>
                  <w:vAlign w:val="center"/>
                  <w:hideMark/>
                </w:tcPr>
                <w:p w14:paraId="4CE4002E" w14:textId="77777777" w:rsidR="00BD3DE6" w:rsidRPr="00990078" w:rsidRDefault="00BD3DE6" w:rsidP="00D53CC6">
                  <w:pPr>
                    <w:rPr>
                      <w:rFonts w:ascii="Garamond" w:hAnsi="Garamond" w:cs="Times New Roman"/>
                      <w:vanish/>
                    </w:rPr>
                  </w:pPr>
                </w:p>
              </w:tc>
            </w:tr>
          </w:tbl>
          <w:p w14:paraId="11890447" w14:textId="77777777" w:rsidR="00BD3DE6" w:rsidRPr="00990078" w:rsidRDefault="00BD3DE6" w:rsidP="00D53CC6">
            <w:pPr>
              <w:rPr>
                <w:rFonts w:ascii="Garamond" w:hAnsi="Garamond" w:cs="Times New Roman"/>
                <w:sz w:val="24"/>
                <w:szCs w:val="24"/>
                <w:lang w:val="en-US"/>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BD3DE6" w:rsidRPr="00990078" w14:paraId="548D8A82" w14:textId="77777777" w:rsidTr="00D53CC6">
              <w:trPr>
                <w:tblCellSpacing w:w="15" w:type="dxa"/>
              </w:trPr>
              <w:tc>
                <w:tcPr>
                  <w:tcW w:w="0" w:type="auto"/>
                  <w:tcMar>
                    <w:top w:w="15" w:type="dxa"/>
                    <w:left w:w="15" w:type="dxa"/>
                    <w:bottom w:w="15" w:type="dxa"/>
                    <w:right w:w="15" w:type="dxa"/>
                  </w:tcMar>
                  <w:vAlign w:val="center"/>
                  <w:hideMark/>
                </w:tcPr>
                <w:p w14:paraId="5075DC34" w14:textId="77777777" w:rsidR="00BD3DE6" w:rsidRPr="00990078" w:rsidRDefault="00BD3DE6" w:rsidP="00D53CC6">
                  <w:pPr>
                    <w:rPr>
                      <w:rFonts w:ascii="Garamond" w:hAnsi="Garamond" w:cs="Times New Roman"/>
                    </w:rPr>
                  </w:pPr>
                  <w:r w:rsidRPr="00990078">
                    <w:rPr>
                      <w:rFonts w:ascii="Garamond" w:hAnsi="Garamond" w:cs="Times New Roman"/>
                    </w:rPr>
                    <w:t>Establish baseline compliance benchmark and claim-denial percentage. Identify high-risk documentation patterns (e.g., missing CPT codes, incomplete time entries, absent progress summaries).</w:t>
                  </w:r>
                </w:p>
              </w:tc>
            </w:tr>
          </w:tbl>
          <w:p w14:paraId="55079257"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1266266D" w14:textId="77777777" w:rsidTr="00D53CC6">
              <w:trPr>
                <w:tblCellSpacing w:w="15" w:type="dxa"/>
                <w:hidden/>
              </w:trPr>
              <w:tc>
                <w:tcPr>
                  <w:tcW w:w="0" w:type="auto"/>
                  <w:tcMar>
                    <w:top w:w="15" w:type="dxa"/>
                    <w:left w:w="15" w:type="dxa"/>
                    <w:bottom w:w="15" w:type="dxa"/>
                    <w:right w:w="15" w:type="dxa"/>
                  </w:tcMar>
                  <w:vAlign w:val="center"/>
                  <w:hideMark/>
                </w:tcPr>
                <w:p w14:paraId="1E85E9C6" w14:textId="77777777" w:rsidR="00BD3DE6" w:rsidRPr="00990078" w:rsidRDefault="00BD3DE6" w:rsidP="00D53CC6">
                  <w:pPr>
                    <w:rPr>
                      <w:rFonts w:ascii="Garamond" w:hAnsi="Garamond" w:cs="Times New Roman"/>
                      <w:vanish/>
                    </w:rPr>
                  </w:pPr>
                </w:p>
              </w:tc>
            </w:tr>
          </w:tbl>
          <w:p w14:paraId="73DCE0BC" w14:textId="77777777" w:rsidR="00BD3DE6" w:rsidRPr="00990078" w:rsidRDefault="00BD3DE6" w:rsidP="00D53CC6">
            <w:pPr>
              <w:rPr>
                <w:rFonts w:ascii="Garamond" w:hAnsi="Garamond" w:cs="Times New Roman"/>
                <w:sz w:val="24"/>
                <w:szCs w:val="24"/>
                <w:lang w:val="en-US"/>
              </w:rPr>
            </w:pPr>
          </w:p>
        </w:tc>
      </w:tr>
      <w:tr w:rsidR="00BD3DE6" w:rsidRPr="00990078" w14:paraId="541059A8" w14:textId="77777777" w:rsidTr="00D53CC6">
        <w:tc>
          <w:tcPr>
            <w:tcW w:w="2519" w:type="dxa"/>
            <w:tcBorders>
              <w:top w:val="single" w:sz="4" w:space="0" w:color="auto"/>
              <w:left w:val="single" w:sz="4" w:space="0" w:color="auto"/>
              <w:bottom w:val="single" w:sz="4" w:space="0" w:color="auto"/>
              <w:right w:val="single" w:sz="4" w:space="0" w:color="auto"/>
            </w:tcBorders>
          </w:tcPr>
          <w:p w14:paraId="40AACDC3" w14:textId="77777777" w:rsidR="00BD3DE6" w:rsidRPr="00990078" w:rsidRDefault="00BD3DE6" w:rsidP="00D53CC6">
            <w:pPr>
              <w:rPr>
                <w:rFonts w:ascii="Garamond" w:hAnsi="Garamond" w:cs="Times New Roman"/>
                <w:sz w:val="24"/>
                <w:szCs w:val="24"/>
                <w:lang w:val="en-US"/>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BD3DE6" w:rsidRPr="00990078" w14:paraId="0B5E5A93" w14:textId="77777777" w:rsidTr="00D53CC6">
              <w:trPr>
                <w:tblCellSpacing w:w="15" w:type="dxa"/>
              </w:trPr>
              <w:tc>
                <w:tcPr>
                  <w:tcW w:w="0" w:type="auto"/>
                  <w:tcMar>
                    <w:top w:w="15" w:type="dxa"/>
                    <w:left w:w="15" w:type="dxa"/>
                    <w:bottom w:w="15" w:type="dxa"/>
                    <w:right w:w="15" w:type="dxa"/>
                  </w:tcMar>
                  <w:vAlign w:val="center"/>
                  <w:hideMark/>
                </w:tcPr>
                <w:p w14:paraId="73A49112" w14:textId="77777777" w:rsidR="00BD3DE6" w:rsidRPr="00990078" w:rsidRDefault="00BD3DE6" w:rsidP="00D53CC6">
                  <w:pPr>
                    <w:rPr>
                      <w:rFonts w:ascii="Garamond" w:hAnsi="Garamond" w:cs="Times New Roman"/>
                    </w:rPr>
                  </w:pPr>
                  <w:r w:rsidRPr="00990078">
                    <w:rPr>
                      <w:rFonts w:ascii="Garamond" w:hAnsi="Garamond" w:cs="Times New Roman"/>
                    </w:rPr>
                    <w:t>Develop standardized note conversion checklist (Version 1.0) aligned with Indiana Medicaid and CASP documentation standards.</w:t>
                  </w:r>
                </w:p>
              </w:tc>
            </w:tr>
          </w:tbl>
          <w:p w14:paraId="3DC576C5"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1466C01B" w14:textId="77777777" w:rsidTr="00D53CC6">
              <w:trPr>
                <w:tblCellSpacing w:w="15" w:type="dxa"/>
                <w:hidden/>
              </w:trPr>
              <w:tc>
                <w:tcPr>
                  <w:tcW w:w="0" w:type="auto"/>
                  <w:tcMar>
                    <w:top w:w="15" w:type="dxa"/>
                    <w:left w:w="15" w:type="dxa"/>
                    <w:bottom w:w="15" w:type="dxa"/>
                    <w:right w:w="15" w:type="dxa"/>
                  </w:tcMar>
                  <w:vAlign w:val="center"/>
                  <w:hideMark/>
                </w:tcPr>
                <w:p w14:paraId="5B6A3456" w14:textId="77777777" w:rsidR="00BD3DE6" w:rsidRPr="00990078" w:rsidRDefault="00BD3DE6" w:rsidP="00D53CC6">
                  <w:pPr>
                    <w:rPr>
                      <w:rFonts w:ascii="Garamond" w:hAnsi="Garamond" w:cs="Times New Roman"/>
                      <w:vanish/>
                    </w:rPr>
                  </w:pPr>
                </w:p>
              </w:tc>
            </w:tr>
          </w:tbl>
          <w:p w14:paraId="44E47EC3" w14:textId="77777777" w:rsidR="00BD3DE6" w:rsidRPr="00990078" w:rsidRDefault="00BD3DE6" w:rsidP="00D53CC6">
            <w:pPr>
              <w:rPr>
                <w:rFonts w:ascii="Garamond" w:hAnsi="Garamond" w:cs="Times New Roman"/>
                <w:sz w:val="24"/>
                <w:szCs w:val="24"/>
                <w:lang w:val="en-US"/>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265"/>
            </w:tblGrid>
            <w:tr w:rsidR="00BD3DE6" w:rsidRPr="00990078" w14:paraId="7FBF7CF4" w14:textId="77777777" w:rsidTr="00D53CC6">
              <w:trPr>
                <w:tblCellSpacing w:w="15" w:type="dxa"/>
              </w:trPr>
              <w:tc>
                <w:tcPr>
                  <w:tcW w:w="0" w:type="auto"/>
                  <w:tcMar>
                    <w:top w:w="15" w:type="dxa"/>
                    <w:left w:w="15" w:type="dxa"/>
                    <w:bottom w:w="15" w:type="dxa"/>
                    <w:right w:w="15" w:type="dxa"/>
                  </w:tcMar>
                  <w:vAlign w:val="center"/>
                  <w:hideMark/>
                </w:tcPr>
                <w:p w14:paraId="0CDFC61A" w14:textId="77777777" w:rsidR="00BD3DE6" w:rsidRPr="00990078" w:rsidRDefault="00BD3DE6" w:rsidP="00D53CC6">
                  <w:pPr>
                    <w:rPr>
                      <w:rFonts w:ascii="Garamond" w:hAnsi="Garamond" w:cs="Times New Roman"/>
                    </w:rPr>
                  </w:pPr>
                  <w:r w:rsidRPr="00990078">
                    <w:rPr>
                      <w:rFonts w:ascii="Garamond" w:hAnsi="Garamond" w:cs="Times New Roman"/>
                    </w:rPr>
                    <w:t>January 2026</w:t>
                  </w:r>
                </w:p>
              </w:tc>
            </w:tr>
          </w:tbl>
          <w:p w14:paraId="70298E9B"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04347331" w14:textId="77777777" w:rsidTr="00D53CC6">
              <w:trPr>
                <w:tblCellSpacing w:w="15" w:type="dxa"/>
                <w:hidden/>
              </w:trPr>
              <w:tc>
                <w:tcPr>
                  <w:tcW w:w="0" w:type="auto"/>
                  <w:tcMar>
                    <w:top w:w="15" w:type="dxa"/>
                    <w:left w:w="15" w:type="dxa"/>
                    <w:bottom w:w="15" w:type="dxa"/>
                    <w:right w:w="15" w:type="dxa"/>
                  </w:tcMar>
                  <w:vAlign w:val="center"/>
                  <w:hideMark/>
                </w:tcPr>
                <w:p w14:paraId="0550B4CB" w14:textId="77777777" w:rsidR="00BD3DE6" w:rsidRPr="00990078" w:rsidRDefault="00BD3DE6" w:rsidP="00D53CC6">
                  <w:pPr>
                    <w:rPr>
                      <w:rFonts w:ascii="Garamond" w:hAnsi="Garamond" w:cs="Times New Roman"/>
                      <w:vanish/>
                    </w:rPr>
                  </w:pPr>
                </w:p>
              </w:tc>
            </w:tr>
          </w:tbl>
          <w:p w14:paraId="6B33CF0D" w14:textId="77777777" w:rsidR="00BD3DE6" w:rsidRPr="00990078" w:rsidRDefault="00BD3DE6" w:rsidP="00D53CC6">
            <w:pPr>
              <w:rPr>
                <w:rFonts w:ascii="Garamond" w:hAnsi="Garamond" w:cs="Times New Roman"/>
                <w:sz w:val="24"/>
                <w:szCs w:val="24"/>
                <w:lang w:val="en-US"/>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BD3DE6" w:rsidRPr="00990078" w14:paraId="03E84866" w14:textId="77777777" w:rsidTr="00D53CC6">
              <w:trPr>
                <w:tblCellSpacing w:w="15" w:type="dxa"/>
              </w:trPr>
              <w:tc>
                <w:tcPr>
                  <w:tcW w:w="0" w:type="auto"/>
                  <w:tcMar>
                    <w:top w:w="15" w:type="dxa"/>
                    <w:left w:w="15" w:type="dxa"/>
                    <w:bottom w:w="15" w:type="dxa"/>
                    <w:right w:w="15" w:type="dxa"/>
                  </w:tcMar>
                  <w:vAlign w:val="center"/>
                  <w:hideMark/>
                </w:tcPr>
                <w:p w14:paraId="3D9B2507" w14:textId="77777777" w:rsidR="00BD3DE6" w:rsidRPr="00990078" w:rsidRDefault="00BD3DE6" w:rsidP="00D53CC6">
                  <w:pPr>
                    <w:rPr>
                      <w:rFonts w:ascii="Garamond" w:hAnsi="Garamond" w:cs="Times New Roman"/>
                    </w:rPr>
                  </w:pPr>
                  <w:r w:rsidRPr="00990078">
                    <w:rPr>
                      <w:rFonts w:ascii="Garamond" w:hAnsi="Garamond" w:cs="Times New Roman"/>
                    </w:rPr>
                    <w:t>Checklist finalized and validated through internal peer review with BCBA and billing staff.</w:t>
                  </w:r>
                </w:p>
              </w:tc>
            </w:tr>
          </w:tbl>
          <w:p w14:paraId="012E3625"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7822D7F5" w14:textId="77777777" w:rsidTr="00D53CC6">
              <w:trPr>
                <w:tblCellSpacing w:w="15" w:type="dxa"/>
                <w:hidden/>
              </w:trPr>
              <w:tc>
                <w:tcPr>
                  <w:tcW w:w="0" w:type="auto"/>
                  <w:tcMar>
                    <w:top w:w="15" w:type="dxa"/>
                    <w:left w:w="15" w:type="dxa"/>
                    <w:bottom w:w="15" w:type="dxa"/>
                    <w:right w:w="15" w:type="dxa"/>
                  </w:tcMar>
                  <w:vAlign w:val="center"/>
                  <w:hideMark/>
                </w:tcPr>
                <w:p w14:paraId="64DFC8AF" w14:textId="77777777" w:rsidR="00BD3DE6" w:rsidRPr="00990078" w:rsidRDefault="00BD3DE6" w:rsidP="00D53CC6">
                  <w:pPr>
                    <w:rPr>
                      <w:rFonts w:ascii="Garamond" w:hAnsi="Garamond" w:cs="Times New Roman"/>
                      <w:vanish/>
                    </w:rPr>
                  </w:pPr>
                </w:p>
              </w:tc>
            </w:tr>
          </w:tbl>
          <w:p w14:paraId="6BC3DD5E" w14:textId="77777777" w:rsidR="00BD3DE6" w:rsidRPr="00990078" w:rsidRDefault="00BD3DE6" w:rsidP="00D53CC6">
            <w:pPr>
              <w:rPr>
                <w:rFonts w:ascii="Garamond" w:hAnsi="Garamond" w:cs="Times New Roman"/>
                <w:sz w:val="24"/>
                <w:szCs w:val="24"/>
                <w:lang w:val="en-US"/>
              </w:rPr>
            </w:pPr>
          </w:p>
        </w:tc>
      </w:tr>
      <w:tr w:rsidR="00BD3DE6" w:rsidRPr="00990078" w14:paraId="1C9F3DAE" w14:textId="77777777" w:rsidTr="00D53CC6">
        <w:tc>
          <w:tcPr>
            <w:tcW w:w="2519" w:type="dxa"/>
            <w:tcBorders>
              <w:top w:val="single" w:sz="4" w:space="0" w:color="auto"/>
              <w:left w:val="single" w:sz="4" w:space="0" w:color="auto"/>
              <w:bottom w:val="single" w:sz="4" w:space="0" w:color="auto"/>
              <w:right w:val="single" w:sz="4" w:space="0" w:color="auto"/>
            </w:tcBorders>
          </w:tcPr>
          <w:p w14:paraId="124C5B46" w14:textId="77777777" w:rsidR="00BD3DE6" w:rsidRPr="00990078" w:rsidRDefault="00BD3DE6" w:rsidP="00D53CC6">
            <w:pPr>
              <w:rPr>
                <w:rFonts w:ascii="Garamond" w:hAnsi="Garamond" w:cs="Times New Roman"/>
                <w:sz w:val="24"/>
                <w:szCs w:val="24"/>
                <w:lang w:val="en-US"/>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BD3DE6" w:rsidRPr="00990078" w14:paraId="07CA02D8" w14:textId="77777777" w:rsidTr="00D53CC6">
              <w:trPr>
                <w:tblCellSpacing w:w="15" w:type="dxa"/>
              </w:trPr>
              <w:tc>
                <w:tcPr>
                  <w:tcW w:w="0" w:type="auto"/>
                  <w:tcMar>
                    <w:top w:w="15" w:type="dxa"/>
                    <w:left w:w="15" w:type="dxa"/>
                    <w:bottom w:w="15" w:type="dxa"/>
                    <w:right w:w="15" w:type="dxa"/>
                  </w:tcMar>
                  <w:vAlign w:val="center"/>
                  <w:hideMark/>
                </w:tcPr>
                <w:p w14:paraId="16564CB9" w14:textId="77777777" w:rsidR="00BD3DE6" w:rsidRPr="00990078" w:rsidRDefault="00BD3DE6" w:rsidP="00D53CC6">
                  <w:pPr>
                    <w:rPr>
                      <w:rFonts w:ascii="Garamond" w:hAnsi="Garamond" w:cs="Times New Roman"/>
                    </w:rPr>
                  </w:pPr>
                  <w:r w:rsidRPr="00990078">
                    <w:rPr>
                      <w:rFonts w:ascii="Garamond" w:hAnsi="Garamond" w:cs="Times New Roman"/>
                    </w:rPr>
                    <w:t xml:space="preserve">Build updated </w:t>
                  </w:r>
                  <w:proofErr w:type="spellStart"/>
                  <w:r w:rsidRPr="00990078">
                    <w:rPr>
                      <w:rFonts w:ascii="Garamond" w:hAnsi="Garamond" w:cs="Times New Roman"/>
                    </w:rPr>
                    <w:t>CentralReach</w:t>
                  </w:r>
                  <w:proofErr w:type="spellEnd"/>
                  <w:r w:rsidRPr="00990078">
                    <w:rPr>
                      <w:rFonts w:ascii="Garamond" w:hAnsi="Garamond" w:cs="Times New Roman"/>
                    </w:rPr>
                    <w:t xml:space="preserve"> electronic templates embedding checklist prompts and required fields.</w:t>
                  </w:r>
                </w:p>
              </w:tc>
            </w:tr>
          </w:tbl>
          <w:p w14:paraId="6BDBBD55"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2EE4AF47" w14:textId="77777777" w:rsidTr="00D53CC6">
              <w:trPr>
                <w:tblCellSpacing w:w="15" w:type="dxa"/>
                <w:hidden/>
              </w:trPr>
              <w:tc>
                <w:tcPr>
                  <w:tcW w:w="0" w:type="auto"/>
                  <w:tcMar>
                    <w:top w:w="15" w:type="dxa"/>
                    <w:left w:w="15" w:type="dxa"/>
                    <w:bottom w:w="15" w:type="dxa"/>
                    <w:right w:w="15" w:type="dxa"/>
                  </w:tcMar>
                  <w:vAlign w:val="center"/>
                  <w:hideMark/>
                </w:tcPr>
                <w:p w14:paraId="67FB4DCD" w14:textId="77777777" w:rsidR="00BD3DE6" w:rsidRPr="00990078" w:rsidRDefault="00BD3DE6" w:rsidP="00D53CC6">
                  <w:pPr>
                    <w:rPr>
                      <w:rFonts w:ascii="Garamond" w:hAnsi="Garamond" w:cs="Times New Roman"/>
                      <w:vanish/>
                    </w:rPr>
                  </w:pPr>
                </w:p>
              </w:tc>
            </w:tr>
          </w:tbl>
          <w:p w14:paraId="16250FA9" w14:textId="77777777" w:rsidR="00BD3DE6" w:rsidRPr="00990078" w:rsidRDefault="00BD3DE6" w:rsidP="00D53CC6">
            <w:pPr>
              <w:rPr>
                <w:rFonts w:ascii="Garamond" w:hAnsi="Garamond" w:cs="Times New Roman"/>
                <w:sz w:val="24"/>
                <w:szCs w:val="24"/>
                <w:lang w:val="en-US"/>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265"/>
            </w:tblGrid>
            <w:tr w:rsidR="00BD3DE6" w:rsidRPr="00990078" w14:paraId="0F80D57E" w14:textId="77777777" w:rsidTr="00D53CC6">
              <w:trPr>
                <w:tblCellSpacing w:w="15" w:type="dxa"/>
              </w:trPr>
              <w:tc>
                <w:tcPr>
                  <w:tcW w:w="0" w:type="auto"/>
                  <w:tcMar>
                    <w:top w:w="15" w:type="dxa"/>
                    <w:left w:w="15" w:type="dxa"/>
                    <w:bottom w:w="15" w:type="dxa"/>
                    <w:right w:w="15" w:type="dxa"/>
                  </w:tcMar>
                  <w:vAlign w:val="center"/>
                  <w:hideMark/>
                </w:tcPr>
                <w:p w14:paraId="26D68A35" w14:textId="77777777" w:rsidR="00BD3DE6" w:rsidRPr="00990078" w:rsidRDefault="00BD3DE6" w:rsidP="00D53CC6">
                  <w:pPr>
                    <w:rPr>
                      <w:rFonts w:ascii="Garamond" w:hAnsi="Garamond" w:cs="Times New Roman"/>
                    </w:rPr>
                  </w:pPr>
                  <w:r w:rsidRPr="00990078">
                    <w:rPr>
                      <w:rFonts w:ascii="Garamond" w:hAnsi="Garamond" w:cs="Times New Roman"/>
                    </w:rPr>
                    <w:t>January – February 2026</w:t>
                  </w:r>
                </w:p>
              </w:tc>
            </w:tr>
          </w:tbl>
          <w:p w14:paraId="5C8B0C20"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58CDED32" w14:textId="77777777" w:rsidTr="00D53CC6">
              <w:trPr>
                <w:tblCellSpacing w:w="15" w:type="dxa"/>
                <w:hidden/>
              </w:trPr>
              <w:tc>
                <w:tcPr>
                  <w:tcW w:w="0" w:type="auto"/>
                  <w:tcMar>
                    <w:top w:w="15" w:type="dxa"/>
                    <w:left w:w="15" w:type="dxa"/>
                    <w:bottom w:w="15" w:type="dxa"/>
                    <w:right w:w="15" w:type="dxa"/>
                  </w:tcMar>
                  <w:vAlign w:val="center"/>
                  <w:hideMark/>
                </w:tcPr>
                <w:p w14:paraId="5D5D2128" w14:textId="77777777" w:rsidR="00BD3DE6" w:rsidRPr="00990078" w:rsidRDefault="00BD3DE6" w:rsidP="00D53CC6">
                  <w:pPr>
                    <w:rPr>
                      <w:rFonts w:ascii="Garamond" w:hAnsi="Garamond" w:cs="Times New Roman"/>
                      <w:vanish/>
                    </w:rPr>
                  </w:pPr>
                </w:p>
              </w:tc>
            </w:tr>
          </w:tbl>
          <w:p w14:paraId="6F11860E" w14:textId="77777777" w:rsidR="00BD3DE6" w:rsidRPr="00990078" w:rsidRDefault="00BD3DE6" w:rsidP="00D53CC6">
            <w:pPr>
              <w:rPr>
                <w:rFonts w:ascii="Garamond" w:hAnsi="Garamond" w:cs="Times New Roman"/>
                <w:sz w:val="24"/>
                <w:szCs w:val="24"/>
                <w:lang w:val="en-US"/>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BD3DE6" w:rsidRPr="00990078" w14:paraId="4AFD3F03" w14:textId="77777777" w:rsidTr="00D53CC6">
              <w:trPr>
                <w:tblCellSpacing w:w="15" w:type="dxa"/>
              </w:trPr>
              <w:tc>
                <w:tcPr>
                  <w:tcW w:w="0" w:type="auto"/>
                  <w:tcMar>
                    <w:top w:w="15" w:type="dxa"/>
                    <w:left w:w="15" w:type="dxa"/>
                    <w:bottom w:w="15" w:type="dxa"/>
                    <w:right w:w="15" w:type="dxa"/>
                  </w:tcMar>
                  <w:vAlign w:val="center"/>
                  <w:hideMark/>
                </w:tcPr>
                <w:p w14:paraId="0E50C0B3" w14:textId="77777777" w:rsidR="00BD3DE6" w:rsidRPr="00990078" w:rsidRDefault="00BD3DE6" w:rsidP="00D53CC6">
                  <w:pPr>
                    <w:rPr>
                      <w:rFonts w:ascii="Garamond" w:hAnsi="Garamond" w:cs="Times New Roman"/>
                    </w:rPr>
                  </w:pPr>
                  <w:r w:rsidRPr="00990078">
                    <w:rPr>
                      <w:rFonts w:ascii="Garamond" w:hAnsi="Garamond" w:cs="Times New Roman"/>
                    </w:rPr>
                    <w:t>System testing complete; mock notes verified for accuracy and functionality before live pilot.</w:t>
                  </w:r>
                </w:p>
              </w:tc>
            </w:tr>
          </w:tbl>
          <w:p w14:paraId="70672177"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0AB80FEC" w14:textId="77777777" w:rsidTr="00D53CC6">
              <w:trPr>
                <w:tblCellSpacing w:w="15" w:type="dxa"/>
                <w:hidden/>
              </w:trPr>
              <w:tc>
                <w:tcPr>
                  <w:tcW w:w="0" w:type="auto"/>
                  <w:tcMar>
                    <w:top w:w="15" w:type="dxa"/>
                    <w:left w:w="15" w:type="dxa"/>
                    <w:bottom w:w="15" w:type="dxa"/>
                    <w:right w:w="15" w:type="dxa"/>
                  </w:tcMar>
                  <w:vAlign w:val="center"/>
                  <w:hideMark/>
                </w:tcPr>
                <w:p w14:paraId="3F7BC818" w14:textId="77777777" w:rsidR="00BD3DE6" w:rsidRPr="00990078" w:rsidRDefault="00BD3DE6" w:rsidP="00D53CC6">
                  <w:pPr>
                    <w:rPr>
                      <w:rFonts w:ascii="Garamond" w:hAnsi="Garamond" w:cs="Times New Roman"/>
                      <w:vanish/>
                    </w:rPr>
                  </w:pPr>
                </w:p>
              </w:tc>
            </w:tr>
          </w:tbl>
          <w:p w14:paraId="524783FC" w14:textId="77777777" w:rsidR="00BD3DE6" w:rsidRPr="00990078" w:rsidRDefault="00BD3DE6" w:rsidP="00D53CC6">
            <w:pPr>
              <w:rPr>
                <w:rFonts w:ascii="Garamond" w:hAnsi="Garamond" w:cs="Times New Roman"/>
                <w:sz w:val="24"/>
                <w:szCs w:val="24"/>
                <w:lang w:val="en-US"/>
              </w:rPr>
            </w:pPr>
          </w:p>
        </w:tc>
      </w:tr>
      <w:tr w:rsidR="00BD3DE6" w:rsidRPr="00990078" w14:paraId="4F4BBB76" w14:textId="77777777" w:rsidTr="00D53CC6">
        <w:tc>
          <w:tcPr>
            <w:tcW w:w="2519" w:type="dxa"/>
            <w:tcBorders>
              <w:top w:val="single" w:sz="4" w:space="0" w:color="auto"/>
              <w:left w:val="single" w:sz="4" w:space="0" w:color="auto"/>
              <w:bottom w:val="single" w:sz="4" w:space="0" w:color="auto"/>
              <w:right w:val="single" w:sz="4" w:space="0" w:color="auto"/>
            </w:tcBorders>
          </w:tcPr>
          <w:p w14:paraId="240DFB9A"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Intervention</w:t>
            </w:r>
          </w:p>
          <w:p w14:paraId="477A100C"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(from intervention list)</w:t>
            </w:r>
          </w:p>
          <w:p w14:paraId="30C672AE" w14:textId="77777777" w:rsidR="00BD3DE6" w:rsidRPr="00990078" w:rsidRDefault="00BD3DE6" w:rsidP="00D53CC6">
            <w:pPr>
              <w:rPr>
                <w:rFonts w:ascii="Garamond" w:hAnsi="Garamond" w:cs="Times New Roman"/>
                <w:sz w:val="24"/>
                <w:szCs w:val="24"/>
                <w:lang w:val="en-US"/>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BD3DE6" w:rsidRPr="00990078" w14:paraId="170A910F" w14:textId="77777777" w:rsidTr="00D53CC6">
              <w:trPr>
                <w:tblCellSpacing w:w="15" w:type="dxa"/>
              </w:trPr>
              <w:tc>
                <w:tcPr>
                  <w:tcW w:w="0" w:type="auto"/>
                  <w:tcMar>
                    <w:top w:w="15" w:type="dxa"/>
                    <w:left w:w="15" w:type="dxa"/>
                    <w:bottom w:w="15" w:type="dxa"/>
                    <w:right w:w="15" w:type="dxa"/>
                  </w:tcMar>
                  <w:vAlign w:val="center"/>
                  <w:hideMark/>
                </w:tcPr>
                <w:p w14:paraId="482A3A47" w14:textId="77777777" w:rsidR="00BD3DE6" w:rsidRPr="00990078" w:rsidRDefault="00BD3DE6" w:rsidP="00D53CC6">
                  <w:pPr>
                    <w:rPr>
                      <w:rFonts w:ascii="Garamond" w:hAnsi="Garamond" w:cs="Times New Roman"/>
                    </w:rPr>
                  </w:pPr>
                  <w:r w:rsidRPr="00990078">
                    <w:rPr>
                      <w:rFonts w:ascii="Garamond" w:hAnsi="Garamond" w:cs="Times New Roman"/>
                    </w:rPr>
                    <w:t>Staff Training: Deliver Medicaid Documentation Compliance Workshop using BST (instruction, modeling, rehearsal, feedback).</w:t>
                  </w:r>
                </w:p>
              </w:tc>
            </w:tr>
          </w:tbl>
          <w:p w14:paraId="0B6BA912"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42C88D9E" w14:textId="77777777" w:rsidTr="00D53CC6">
              <w:trPr>
                <w:tblCellSpacing w:w="15" w:type="dxa"/>
                <w:hidden/>
              </w:trPr>
              <w:tc>
                <w:tcPr>
                  <w:tcW w:w="0" w:type="auto"/>
                  <w:tcMar>
                    <w:top w:w="15" w:type="dxa"/>
                    <w:left w:w="15" w:type="dxa"/>
                    <w:bottom w:w="15" w:type="dxa"/>
                    <w:right w:w="15" w:type="dxa"/>
                  </w:tcMar>
                  <w:vAlign w:val="center"/>
                  <w:hideMark/>
                </w:tcPr>
                <w:p w14:paraId="3C41C8FE" w14:textId="77777777" w:rsidR="00BD3DE6" w:rsidRPr="00990078" w:rsidRDefault="00BD3DE6" w:rsidP="00D53CC6">
                  <w:pPr>
                    <w:rPr>
                      <w:rFonts w:ascii="Garamond" w:hAnsi="Garamond" w:cs="Times New Roman"/>
                      <w:vanish/>
                    </w:rPr>
                  </w:pPr>
                </w:p>
              </w:tc>
            </w:tr>
          </w:tbl>
          <w:p w14:paraId="22EDBBF8" w14:textId="77777777" w:rsidR="00BD3DE6" w:rsidRPr="00990078" w:rsidRDefault="00BD3DE6" w:rsidP="00D53CC6">
            <w:pPr>
              <w:rPr>
                <w:rFonts w:ascii="Garamond" w:hAnsi="Garamond" w:cs="Times New Roman"/>
                <w:sz w:val="24"/>
                <w:szCs w:val="24"/>
                <w:lang w:val="en-US"/>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265"/>
            </w:tblGrid>
            <w:tr w:rsidR="00BD3DE6" w:rsidRPr="00990078" w14:paraId="5A42F200" w14:textId="77777777" w:rsidTr="00D53CC6">
              <w:trPr>
                <w:tblCellSpacing w:w="15" w:type="dxa"/>
              </w:trPr>
              <w:tc>
                <w:tcPr>
                  <w:tcW w:w="0" w:type="auto"/>
                  <w:tcMar>
                    <w:top w:w="15" w:type="dxa"/>
                    <w:left w:w="15" w:type="dxa"/>
                    <w:bottom w:w="15" w:type="dxa"/>
                    <w:right w:w="15" w:type="dxa"/>
                  </w:tcMar>
                  <w:vAlign w:val="center"/>
                  <w:hideMark/>
                </w:tcPr>
                <w:p w14:paraId="1550DD35" w14:textId="77777777" w:rsidR="00BD3DE6" w:rsidRPr="00990078" w:rsidRDefault="00BD3DE6" w:rsidP="00D53CC6">
                  <w:pPr>
                    <w:rPr>
                      <w:rFonts w:ascii="Garamond" w:hAnsi="Garamond" w:cs="Times New Roman"/>
                    </w:rPr>
                  </w:pPr>
                  <w:r w:rsidRPr="00990078">
                    <w:rPr>
                      <w:rFonts w:ascii="Garamond" w:hAnsi="Garamond" w:cs="Times New Roman"/>
                    </w:rPr>
                    <w:t>January – February 2026</w:t>
                  </w:r>
                </w:p>
              </w:tc>
            </w:tr>
          </w:tbl>
          <w:p w14:paraId="554AC93C"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5454D3CF" w14:textId="77777777" w:rsidTr="00D53CC6">
              <w:trPr>
                <w:tblCellSpacing w:w="15" w:type="dxa"/>
                <w:hidden/>
              </w:trPr>
              <w:tc>
                <w:tcPr>
                  <w:tcW w:w="0" w:type="auto"/>
                  <w:tcMar>
                    <w:top w:w="15" w:type="dxa"/>
                    <w:left w:w="15" w:type="dxa"/>
                    <w:bottom w:w="15" w:type="dxa"/>
                    <w:right w:w="15" w:type="dxa"/>
                  </w:tcMar>
                  <w:vAlign w:val="center"/>
                  <w:hideMark/>
                </w:tcPr>
                <w:p w14:paraId="3116D778" w14:textId="77777777" w:rsidR="00BD3DE6" w:rsidRPr="00990078" w:rsidRDefault="00BD3DE6" w:rsidP="00D53CC6">
                  <w:pPr>
                    <w:rPr>
                      <w:rFonts w:ascii="Garamond" w:hAnsi="Garamond" w:cs="Times New Roman"/>
                      <w:vanish/>
                    </w:rPr>
                  </w:pPr>
                </w:p>
              </w:tc>
            </w:tr>
          </w:tbl>
          <w:p w14:paraId="554E9566" w14:textId="77777777" w:rsidR="00BD3DE6" w:rsidRPr="00990078" w:rsidRDefault="00BD3DE6" w:rsidP="00D53CC6">
            <w:pPr>
              <w:rPr>
                <w:rFonts w:ascii="Garamond" w:hAnsi="Garamond" w:cs="Times New Roman"/>
                <w:sz w:val="24"/>
                <w:szCs w:val="24"/>
                <w:lang w:val="en-US"/>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BD3DE6" w:rsidRPr="00990078" w14:paraId="4B49F850" w14:textId="77777777" w:rsidTr="00D53CC6">
              <w:trPr>
                <w:tblCellSpacing w:w="15" w:type="dxa"/>
              </w:trPr>
              <w:tc>
                <w:tcPr>
                  <w:tcW w:w="0" w:type="auto"/>
                  <w:tcMar>
                    <w:top w:w="15" w:type="dxa"/>
                    <w:left w:w="15" w:type="dxa"/>
                    <w:bottom w:w="15" w:type="dxa"/>
                    <w:right w:w="15" w:type="dxa"/>
                  </w:tcMar>
                  <w:vAlign w:val="center"/>
                  <w:hideMark/>
                </w:tcPr>
                <w:p w14:paraId="42C644CB" w14:textId="77777777" w:rsidR="00BD3DE6" w:rsidRPr="00990078" w:rsidRDefault="00BD3DE6" w:rsidP="00D53CC6">
                  <w:pPr>
                    <w:rPr>
                      <w:rFonts w:ascii="Garamond" w:hAnsi="Garamond" w:cs="Times New Roman"/>
                    </w:rPr>
                  </w:pPr>
                  <w:r w:rsidRPr="00990078">
                    <w:rPr>
                      <w:rFonts w:ascii="Garamond" w:hAnsi="Garamond" w:cs="Times New Roman"/>
                    </w:rPr>
                    <w:t xml:space="preserve">All RBTs, </w:t>
                  </w:r>
                  <w:proofErr w:type="spellStart"/>
                  <w:r w:rsidRPr="00990078">
                    <w:rPr>
                      <w:rFonts w:ascii="Garamond" w:hAnsi="Garamond" w:cs="Times New Roman"/>
                    </w:rPr>
                    <w:t>BCaBAs</w:t>
                  </w:r>
                  <w:proofErr w:type="spellEnd"/>
                  <w:r w:rsidRPr="00990078">
                    <w:rPr>
                      <w:rFonts w:ascii="Garamond" w:hAnsi="Garamond" w:cs="Times New Roman"/>
                    </w:rPr>
                    <w:t>, and BCBAs trained; post-training accuracy ≥ 80%.</w:t>
                  </w:r>
                </w:p>
              </w:tc>
            </w:tr>
          </w:tbl>
          <w:p w14:paraId="6FC7E35C"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202CF816" w14:textId="77777777" w:rsidTr="00D53CC6">
              <w:trPr>
                <w:tblCellSpacing w:w="15" w:type="dxa"/>
                <w:hidden/>
              </w:trPr>
              <w:tc>
                <w:tcPr>
                  <w:tcW w:w="0" w:type="auto"/>
                  <w:tcMar>
                    <w:top w:w="15" w:type="dxa"/>
                    <w:left w:w="15" w:type="dxa"/>
                    <w:bottom w:w="15" w:type="dxa"/>
                    <w:right w:w="15" w:type="dxa"/>
                  </w:tcMar>
                  <w:vAlign w:val="center"/>
                  <w:hideMark/>
                </w:tcPr>
                <w:p w14:paraId="626A3981" w14:textId="77777777" w:rsidR="00BD3DE6" w:rsidRPr="00990078" w:rsidRDefault="00BD3DE6" w:rsidP="00D53CC6">
                  <w:pPr>
                    <w:rPr>
                      <w:rFonts w:ascii="Garamond" w:hAnsi="Garamond" w:cs="Times New Roman"/>
                      <w:vanish/>
                    </w:rPr>
                  </w:pPr>
                </w:p>
              </w:tc>
            </w:tr>
          </w:tbl>
          <w:p w14:paraId="78361EE2" w14:textId="77777777" w:rsidR="00BD3DE6" w:rsidRPr="00990078" w:rsidRDefault="00BD3DE6" w:rsidP="00D53CC6">
            <w:pPr>
              <w:rPr>
                <w:rFonts w:ascii="Garamond" w:hAnsi="Garamond" w:cs="Times New Roman"/>
                <w:sz w:val="24"/>
                <w:szCs w:val="24"/>
                <w:lang w:val="en-US"/>
              </w:rPr>
            </w:pPr>
          </w:p>
        </w:tc>
      </w:tr>
      <w:tr w:rsidR="00BD3DE6" w:rsidRPr="00990078" w14:paraId="3848D7E6" w14:textId="77777777" w:rsidTr="00D53CC6">
        <w:tc>
          <w:tcPr>
            <w:tcW w:w="2519" w:type="dxa"/>
            <w:tcBorders>
              <w:top w:val="single" w:sz="4" w:space="0" w:color="auto"/>
              <w:left w:val="single" w:sz="4" w:space="0" w:color="auto"/>
              <w:bottom w:val="single" w:sz="4" w:space="0" w:color="auto"/>
              <w:right w:val="single" w:sz="4" w:space="0" w:color="auto"/>
            </w:tcBorders>
          </w:tcPr>
          <w:p w14:paraId="27638558" w14:textId="77777777" w:rsidR="00BD3DE6" w:rsidRPr="00990078" w:rsidRDefault="00BD3DE6" w:rsidP="00D53CC6">
            <w:pPr>
              <w:rPr>
                <w:rFonts w:ascii="Garamond" w:hAnsi="Garamond" w:cs="Times New Roman"/>
                <w:sz w:val="24"/>
                <w:szCs w:val="24"/>
                <w:lang w:val="en-US"/>
              </w:rPr>
            </w:pPr>
          </w:p>
          <w:p w14:paraId="2FFF54E4" w14:textId="77777777" w:rsidR="00BD3DE6" w:rsidRPr="00990078" w:rsidRDefault="00BD3DE6" w:rsidP="00D53CC6">
            <w:pPr>
              <w:rPr>
                <w:rFonts w:ascii="Garamond" w:hAnsi="Garamond" w:cs="Times New Roman"/>
                <w:sz w:val="24"/>
                <w:szCs w:val="24"/>
                <w:lang w:val="en-US"/>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BD3DE6" w:rsidRPr="00990078" w14:paraId="4F13FF0A" w14:textId="77777777" w:rsidTr="00D53CC6">
              <w:trPr>
                <w:tblCellSpacing w:w="15" w:type="dxa"/>
              </w:trPr>
              <w:tc>
                <w:tcPr>
                  <w:tcW w:w="0" w:type="auto"/>
                  <w:tcMar>
                    <w:top w:w="15" w:type="dxa"/>
                    <w:left w:w="15" w:type="dxa"/>
                    <w:bottom w:w="15" w:type="dxa"/>
                    <w:right w:w="15" w:type="dxa"/>
                  </w:tcMar>
                  <w:vAlign w:val="center"/>
                  <w:hideMark/>
                </w:tcPr>
                <w:p w14:paraId="71687316" w14:textId="77777777" w:rsidR="00BD3DE6" w:rsidRPr="00990078" w:rsidRDefault="00BD3DE6" w:rsidP="00D53CC6">
                  <w:pPr>
                    <w:rPr>
                      <w:rFonts w:ascii="Garamond" w:hAnsi="Garamond" w:cs="Times New Roman"/>
                    </w:rPr>
                  </w:pPr>
                  <w:r w:rsidRPr="00990078">
                    <w:rPr>
                      <w:rFonts w:ascii="Garamond" w:hAnsi="Garamond" w:cs="Times New Roman"/>
                    </w:rPr>
                    <w:t>Pilot Implementation: Apply checklist and updated templates at one clinic for two weeks to evaluate usability and workflow impact.</w:t>
                  </w:r>
                </w:p>
              </w:tc>
            </w:tr>
          </w:tbl>
          <w:p w14:paraId="4D2BF9C6"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202338D1" w14:textId="77777777" w:rsidTr="00D53CC6">
              <w:trPr>
                <w:tblCellSpacing w:w="15" w:type="dxa"/>
                <w:hidden/>
              </w:trPr>
              <w:tc>
                <w:tcPr>
                  <w:tcW w:w="0" w:type="auto"/>
                  <w:tcMar>
                    <w:top w:w="15" w:type="dxa"/>
                    <w:left w:w="15" w:type="dxa"/>
                    <w:bottom w:w="15" w:type="dxa"/>
                    <w:right w:w="15" w:type="dxa"/>
                  </w:tcMar>
                  <w:vAlign w:val="center"/>
                  <w:hideMark/>
                </w:tcPr>
                <w:p w14:paraId="2B1A0449" w14:textId="77777777" w:rsidR="00BD3DE6" w:rsidRPr="00990078" w:rsidRDefault="00BD3DE6" w:rsidP="00D53CC6">
                  <w:pPr>
                    <w:rPr>
                      <w:rFonts w:ascii="Garamond" w:hAnsi="Garamond" w:cs="Times New Roman"/>
                      <w:vanish/>
                    </w:rPr>
                  </w:pPr>
                </w:p>
              </w:tc>
            </w:tr>
          </w:tbl>
          <w:p w14:paraId="02476AAB" w14:textId="77777777" w:rsidR="00BD3DE6" w:rsidRPr="00990078" w:rsidRDefault="00BD3DE6" w:rsidP="00D53CC6">
            <w:pPr>
              <w:rPr>
                <w:rFonts w:ascii="Garamond" w:hAnsi="Garamond" w:cs="Times New Roman"/>
                <w:sz w:val="24"/>
                <w:szCs w:val="24"/>
                <w:lang w:val="en-US"/>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265"/>
            </w:tblGrid>
            <w:tr w:rsidR="00BD3DE6" w:rsidRPr="00990078" w14:paraId="415A2465" w14:textId="77777777" w:rsidTr="00D53CC6">
              <w:trPr>
                <w:tblCellSpacing w:w="15" w:type="dxa"/>
              </w:trPr>
              <w:tc>
                <w:tcPr>
                  <w:tcW w:w="0" w:type="auto"/>
                  <w:tcMar>
                    <w:top w:w="15" w:type="dxa"/>
                    <w:left w:w="15" w:type="dxa"/>
                    <w:bottom w:w="15" w:type="dxa"/>
                    <w:right w:w="15" w:type="dxa"/>
                  </w:tcMar>
                  <w:vAlign w:val="center"/>
                  <w:hideMark/>
                </w:tcPr>
                <w:p w14:paraId="08D3D334" w14:textId="77777777" w:rsidR="00BD3DE6" w:rsidRPr="00990078" w:rsidRDefault="00BD3DE6" w:rsidP="00D53CC6">
                  <w:pPr>
                    <w:rPr>
                      <w:rFonts w:ascii="Garamond" w:hAnsi="Garamond" w:cs="Times New Roman"/>
                    </w:rPr>
                  </w:pPr>
                  <w:r w:rsidRPr="00990078">
                    <w:rPr>
                      <w:rFonts w:ascii="Garamond" w:hAnsi="Garamond" w:cs="Times New Roman"/>
                    </w:rPr>
                    <w:t>January – February 2026</w:t>
                  </w:r>
                </w:p>
              </w:tc>
            </w:tr>
          </w:tbl>
          <w:p w14:paraId="3A33117F"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44626F0C" w14:textId="77777777" w:rsidTr="00D53CC6">
              <w:trPr>
                <w:tblCellSpacing w:w="15" w:type="dxa"/>
                <w:hidden/>
              </w:trPr>
              <w:tc>
                <w:tcPr>
                  <w:tcW w:w="0" w:type="auto"/>
                  <w:tcMar>
                    <w:top w:w="15" w:type="dxa"/>
                    <w:left w:w="15" w:type="dxa"/>
                    <w:bottom w:w="15" w:type="dxa"/>
                    <w:right w:w="15" w:type="dxa"/>
                  </w:tcMar>
                  <w:vAlign w:val="center"/>
                  <w:hideMark/>
                </w:tcPr>
                <w:p w14:paraId="54330562" w14:textId="77777777" w:rsidR="00BD3DE6" w:rsidRPr="00990078" w:rsidRDefault="00BD3DE6" w:rsidP="00D53CC6">
                  <w:pPr>
                    <w:rPr>
                      <w:rFonts w:ascii="Garamond" w:hAnsi="Garamond" w:cs="Times New Roman"/>
                      <w:vanish/>
                    </w:rPr>
                  </w:pPr>
                </w:p>
              </w:tc>
            </w:tr>
          </w:tbl>
          <w:p w14:paraId="0F4AEF29" w14:textId="77777777" w:rsidR="00BD3DE6" w:rsidRPr="00990078" w:rsidRDefault="00BD3DE6" w:rsidP="00D53CC6">
            <w:pPr>
              <w:rPr>
                <w:rFonts w:ascii="Garamond" w:hAnsi="Garamond" w:cs="Times New Roman"/>
                <w:sz w:val="24"/>
                <w:szCs w:val="24"/>
                <w:lang w:val="en-US"/>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BD3DE6" w:rsidRPr="00990078" w14:paraId="64DE6F91" w14:textId="77777777" w:rsidTr="00D53CC6">
              <w:trPr>
                <w:tblCellSpacing w:w="15" w:type="dxa"/>
              </w:trPr>
              <w:tc>
                <w:tcPr>
                  <w:tcW w:w="0" w:type="auto"/>
                  <w:tcMar>
                    <w:top w:w="15" w:type="dxa"/>
                    <w:left w:w="15" w:type="dxa"/>
                    <w:bottom w:w="15" w:type="dxa"/>
                    <w:right w:w="15" w:type="dxa"/>
                  </w:tcMar>
                  <w:vAlign w:val="center"/>
                  <w:hideMark/>
                </w:tcPr>
                <w:p w14:paraId="48C5BC87" w14:textId="77777777" w:rsidR="00BD3DE6" w:rsidRPr="00990078" w:rsidRDefault="00BD3DE6" w:rsidP="00D53CC6">
                  <w:pPr>
                    <w:rPr>
                      <w:rFonts w:ascii="Garamond" w:hAnsi="Garamond" w:cs="Times New Roman"/>
                    </w:rPr>
                  </w:pPr>
                  <w:r w:rsidRPr="00990078">
                    <w:rPr>
                      <w:rFonts w:ascii="Garamond" w:hAnsi="Garamond" w:cs="Times New Roman"/>
                    </w:rPr>
                    <w:t>Collect staff feedback; refine checklist to Version 1.1 based on pilot data.</w:t>
                  </w:r>
                </w:p>
              </w:tc>
            </w:tr>
          </w:tbl>
          <w:p w14:paraId="446AF66D"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02E917C3" w14:textId="77777777" w:rsidTr="00D53CC6">
              <w:trPr>
                <w:tblCellSpacing w:w="15" w:type="dxa"/>
                <w:hidden/>
              </w:trPr>
              <w:tc>
                <w:tcPr>
                  <w:tcW w:w="0" w:type="auto"/>
                  <w:tcMar>
                    <w:top w:w="15" w:type="dxa"/>
                    <w:left w:w="15" w:type="dxa"/>
                    <w:bottom w:w="15" w:type="dxa"/>
                    <w:right w:w="15" w:type="dxa"/>
                  </w:tcMar>
                  <w:vAlign w:val="center"/>
                  <w:hideMark/>
                </w:tcPr>
                <w:p w14:paraId="567C8AE3" w14:textId="77777777" w:rsidR="00BD3DE6" w:rsidRPr="00990078" w:rsidRDefault="00BD3DE6" w:rsidP="00D53CC6">
                  <w:pPr>
                    <w:rPr>
                      <w:rFonts w:ascii="Garamond" w:hAnsi="Garamond" w:cs="Times New Roman"/>
                      <w:vanish/>
                    </w:rPr>
                  </w:pPr>
                </w:p>
              </w:tc>
            </w:tr>
          </w:tbl>
          <w:p w14:paraId="43413987" w14:textId="77777777" w:rsidR="00BD3DE6" w:rsidRPr="00990078" w:rsidRDefault="00BD3DE6" w:rsidP="00D53CC6">
            <w:pPr>
              <w:rPr>
                <w:rFonts w:ascii="Garamond" w:hAnsi="Garamond" w:cs="Times New Roman"/>
                <w:sz w:val="24"/>
                <w:szCs w:val="24"/>
                <w:lang w:val="en-US"/>
              </w:rPr>
            </w:pPr>
          </w:p>
        </w:tc>
      </w:tr>
      <w:tr w:rsidR="00BD3DE6" w:rsidRPr="00990078" w14:paraId="14539707" w14:textId="77777777" w:rsidTr="00D53CC6">
        <w:tc>
          <w:tcPr>
            <w:tcW w:w="2519" w:type="dxa"/>
            <w:tcBorders>
              <w:top w:val="single" w:sz="4" w:space="0" w:color="auto"/>
              <w:left w:val="single" w:sz="4" w:space="0" w:color="auto"/>
              <w:bottom w:val="single" w:sz="4" w:space="0" w:color="auto"/>
              <w:right w:val="single" w:sz="4" w:space="0" w:color="auto"/>
            </w:tcBorders>
          </w:tcPr>
          <w:p w14:paraId="5D8F5397" w14:textId="77777777" w:rsidR="00BD3DE6" w:rsidRPr="00990078" w:rsidRDefault="00BD3DE6" w:rsidP="00D53CC6">
            <w:pPr>
              <w:rPr>
                <w:rFonts w:ascii="Garamond" w:hAnsi="Garamond" w:cs="Times New Roman"/>
                <w:sz w:val="24"/>
                <w:szCs w:val="24"/>
                <w:lang w:val="en-US"/>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BD3DE6" w:rsidRPr="00990078" w14:paraId="71C74F5D" w14:textId="77777777" w:rsidTr="00D53CC6">
              <w:trPr>
                <w:tblCellSpacing w:w="15" w:type="dxa"/>
              </w:trPr>
              <w:tc>
                <w:tcPr>
                  <w:tcW w:w="0" w:type="auto"/>
                  <w:tcMar>
                    <w:top w:w="15" w:type="dxa"/>
                    <w:left w:w="15" w:type="dxa"/>
                    <w:bottom w:w="15" w:type="dxa"/>
                    <w:right w:w="15" w:type="dxa"/>
                  </w:tcMar>
                  <w:vAlign w:val="center"/>
                  <w:hideMark/>
                </w:tcPr>
                <w:p w14:paraId="5E86BB2B" w14:textId="77777777" w:rsidR="00BD3DE6" w:rsidRPr="00990078" w:rsidRDefault="00BD3DE6" w:rsidP="00D53CC6">
                  <w:pPr>
                    <w:rPr>
                      <w:rFonts w:ascii="Garamond" w:hAnsi="Garamond" w:cs="Times New Roman"/>
                    </w:rPr>
                  </w:pPr>
                  <w:r w:rsidRPr="00990078">
                    <w:rPr>
                      <w:rFonts w:ascii="Garamond" w:hAnsi="Garamond" w:cs="Times New Roman"/>
                    </w:rPr>
                    <w:t xml:space="preserve">System-Wide Rollout: Launch finalized checklist and </w:t>
                  </w:r>
                  <w:proofErr w:type="spellStart"/>
                  <w:r w:rsidRPr="00990078">
                    <w:rPr>
                      <w:rFonts w:ascii="Garamond" w:hAnsi="Garamond" w:cs="Times New Roman"/>
                    </w:rPr>
                    <w:t>CentralReach</w:t>
                  </w:r>
                  <w:proofErr w:type="spellEnd"/>
                  <w:r w:rsidRPr="00990078">
                    <w:rPr>
                      <w:rFonts w:ascii="Garamond" w:hAnsi="Garamond" w:cs="Times New Roman"/>
                    </w:rPr>
                    <w:t xml:space="preserve"> template across all Harsha Autism Center sites.</w:t>
                  </w:r>
                </w:p>
              </w:tc>
            </w:tr>
          </w:tbl>
          <w:p w14:paraId="063C8E76"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042DD85A" w14:textId="77777777" w:rsidTr="00D53CC6">
              <w:trPr>
                <w:tblCellSpacing w:w="15" w:type="dxa"/>
                <w:hidden/>
              </w:trPr>
              <w:tc>
                <w:tcPr>
                  <w:tcW w:w="0" w:type="auto"/>
                  <w:tcMar>
                    <w:top w:w="15" w:type="dxa"/>
                    <w:left w:w="15" w:type="dxa"/>
                    <w:bottom w:w="15" w:type="dxa"/>
                    <w:right w:w="15" w:type="dxa"/>
                  </w:tcMar>
                  <w:vAlign w:val="center"/>
                  <w:hideMark/>
                </w:tcPr>
                <w:p w14:paraId="5C31F917" w14:textId="77777777" w:rsidR="00BD3DE6" w:rsidRPr="00990078" w:rsidRDefault="00BD3DE6" w:rsidP="00D53CC6">
                  <w:pPr>
                    <w:rPr>
                      <w:rFonts w:ascii="Garamond" w:hAnsi="Garamond" w:cs="Times New Roman"/>
                      <w:vanish/>
                    </w:rPr>
                  </w:pPr>
                </w:p>
              </w:tc>
            </w:tr>
          </w:tbl>
          <w:p w14:paraId="6DD1A4DF" w14:textId="77777777" w:rsidR="00BD3DE6" w:rsidRPr="00990078" w:rsidRDefault="00BD3DE6" w:rsidP="00D53CC6">
            <w:pPr>
              <w:rPr>
                <w:rFonts w:ascii="Garamond" w:hAnsi="Garamond" w:cs="Times New Roman"/>
                <w:sz w:val="24"/>
                <w:szCs w:val="24"/>
                <w:lang w:val="en-US"/>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200"/>
            </w:tblGrid>
            <w:tr w:rsidR="00BD3DE6" w:rsidRPr="00990078" w14:paraId="3953E062" w14:textId="77777777" w:rsidTr="00D53CC6">
              <w:trPr>
                <w:tblCellSpacing w:w="15" w:type="dxa"/>
              </w:trPr>
              <w:tc>
                <w:tcPr>
                  <w:tcW w:w="0" w:type="auto"/>
                  <w:tcMar>
                    <w:top w:w="15" w:type="dxa"/>
                    <w:left w:w="15" w:type="dxa"/>
                    <w:bottom w:w="15" w:type="dxa"/>
                    <w:right w:w="15" w:type="dxa"/>
                  </w:tcMar>
                  <w:vAlign w:val="center"/>
                  <w:hideMark/>
                </w:tcPr>
                <w:p w14:paraId="1EAEF759" w14:textId="77777777" w:rsidR="00BD3DE6" w:rsidRPr="00990078" w:rsidRDefault="00BD3DE6" w:rsidP="00D53CC6">
                  <w:pPr>
                    <w:rPr>
                      <w:rFonts w:ascii="Garamond" w:hAnsi="Garamond" w:cs="Times New Roman"/>
                    </w:rPr>
                  </w:pPr>
                  <w:r w:rsidRPr="00990078">
                    <w:rPr>
                      <w:rFonts w:ascii="Garamond" w:hAnsi="Garamond" w:cs="Times New Roman"/>
                    </w:rPr>
                    <w:t>March 2026</w:t>
                  </w:r>
                </w:p>
              </w:tc>
            </w:tr>
          </w:tbl>
          <w:p w14:paraId="61D3DB47"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0EE21644" w14:textId="77777777" w:rsidTr="00D53CC6">
              <w:trPr>
                <w:tblCellSpacing w:w="15" w:type="dxa"/>
                <w:hidden/>
              </w:trPr>
              <w:tc>
                <w:tcPr>
                  <w:tcW w:w="0" w:type="auto"/>
                  <w:tcMar>
                    <w:top w:w="15" w:type="dxa"/>
                    <w:left w:w="15" w:type="dxa"/>
                    <w:bottom w:w="15" w:type="dxa"/>
                    <w:right w:w="15" w:type="dxa"/>
                  </w:tcMar>
                  <w:vAlign w:val="center"/>
                  <w:hideMark/>
                </w:tcPr>
                <w:p w14:paraId="17901E2B" w14:textId="77777777" w:rsidR="00BD3DE6" w:rsidRPr="00990078" w:rsidRDefault="00BD3DE6" w:rsidP="00D53CC6">
                  <w:pPr>
                    <w:rPr>
                      <w:rFonts w:ascii="Garamond" w:hAnsi="Garamond" w:cs="Times New Roman"/>
                      <w:vanish/>
                    </w:rPr>
                  </w:pPr>
                </w:p>
              </w:tc>
            </w:tr>
          </w:tbl>
          <w:p w14:paraId="127CDC7D" w14:textId="77777777" w:rsidR="00BD3DE6" w:rsidRPr="00990078" w:rsidRDefault="00BD3DE6" w:rsidP="00D53CC6">
            <w:pPr>
              <w:rPr>
                <w:rFonts w:ascii="Garamond" w:hAnsi="Garamond" w:cs="Times New Roman"/>
                <w:sz w:val="24"/>
                <w:szCs w:val="24"/>
                <w:lang w:val="en-US"/>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BD3DE6" w:rsidRPr="00990078" w14:paraId="7648A94C" w14:textId="77777777" w:rsidTr="00D53CC6">
              <w:trPr>
                <w:tblCellSpacing w:w="15" w:type="dxa"/>
              </w:trPr>
              <w:tc>
                <w:tcPr>
                  <w:tcW w:w="0" w:type="auto"/>
                  <w:tcMar>
                    <w:top w:w="15" w:type="dxa"/>
                    <w:left w:w="15" w:type="dxa"/>
                    <w:bottom w:w="15" w:type="dxa"/>
                    <w:right w:w="15" w:type="dxa"/>
                  </w:tcMar>
                  <w:vAlign w:val="center"/>
                  <w:hideMark/>
                </w:tcPr>
                <w:p w14:paraId="5B235A36" w14:textId="77777777" w:rsidR="00BD3DE6" w:rsidRPr="00990078" w:rsidRDefault="00BD3DE6" w:rsidP="00D53CC6">
                  <w:pPr>
                    <w:rPr>
                      <w:rFonts w:ascii="Garamond" w:hAnsi="Garamond" w:cs="Times New Roman"/>
                    </w:rPr>
                  </w:pPr>
                  <w:r w:rsidRPr="00990078">
                    <w:rPr>
                      <w:rFonts w:ascii="Garamond" w:hAnsi="Garamond" w:cs="Times New Roman"/>
                    </w:rPr>
                    <w:t>Organization-wide adoption achieved. Super-users assigned at each site for ongoing support.</w:t>
                  </w:r>
                </w:p>
              </w:tc>
            </w:tr>
          </w:tbl>
          <w:p w14:paraId="5C93C716"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1BFB44B4" w14:textId="77777777" w:rsidTr="00D53CC6">
              <w:trPr>
                <w:tblCellSpacing w:w="15" w:type="dxa"/>
                <w:hidden/>
              </w:trPr>
              <w:tc>
                <w:tcPr>
                  <w:tcW w:w="0" w:type="auto"/>
                  <w:tcMar>
                    <w:top w:w="15" w:type="dxa"/>
                    <w:left w:w="15" w:type="dxa"/>
                    <w:bottom w:w="15" w:type="dxa"/>
                    <w:right w:w="15" w:type="dxa"/>
                  </w:tcMar>
                  <w:vAlign w:val="center"/>
                  <w:hideMark/>
                </w:tcPr>
                <w:p w14:paraId="2C498836" w14:textId="77777777" w:rsidR="00BD3DE6" w:rsidRPr="00990078" w:rsidRDefault="00BD3DE6" w:rsidP="00D53CC6">
                  <w:pPr>
                    <w:rPr>
                      <w:rFonts w:ascii="Garamond" w:hAnsi="Garamond" w:cs="Times New Roman"/>
                      <w:vanish/>
                    </w:rPr>
                  </w:pPr>
                </w:p>
              </w:tc>
            </w:tr>
          </w:tbl>
          <w:p w14:paraId="11877301" w14:textId="77777777" w:rsidR="00BD3DE6" w:rsidRPr="00990078" w:rsidRDefault="00BD3DE6" w:rsidP="00D53CC6">
            <w:pPr>
              <w:rPr>
                <w:rFonts w:ascii="Garamond" w:hAnsi="Garamond" w:cs="Times New Roman"/>
                <w:sz w:val="24"/>
                <w:szCs w:val="24"/>
                <w:lang w:val="en-US"/>
              </w:rPr>
            </w:pPr>
          </w:p>
        </w:tc>
      </w:tr>
      <w:tr w:rsidR="00BD3DE6" w:rsidRPr="00990078" w14:paraId="04020315" w14:textId="77777777" w:rsidTr="00D53CC6">
        <w:tc>
          <w:tcPr>
            <w:tcW w:w="2519" w:type="dxa"/>
            <w:tcBorders>
              <w:top w:val="single" w:sz="4" w:space="0" w:color="auto"/>
              <w:left w:val="single" w:sz="4" w:space="0" w:color="auto"/>
              <w:bottom w:val="single" w:sz="4" w:space="0" w:color="auto"/>
              <w:right w:val="single" w:sz="4" w:space="0" w:color="auto"/>
            </w:tcBorders>
          </w:tcPr>
          <w:p w14:paraId="65D59AB8" w14:textId="77777777" w:rsidR="00BD3DE6" w:rsidRPr="00990078" w:rsidRDefault="00BD3DE6" w:rsidP="00D53CC6">
            <w:pPr>
              <w:rPr>
                <w:rFonts w:ascii="Garamond" w:hAnsi="Garamond" w:cs="Times New Roman"/>
                <w:sz w:val="24"/>
                <w:szCs w:val="24"/>
                <w:lang w:val="en-US"/>
              </w:rPr>
            </w:pPr>
          </w:p>
          <w:p w14:paraId="4E9D6101" w14:textId="77777777" w:rsidR="00BD3DE6" w:rsidRPr="00990078" w:rsidRDefault="00BD3DE6" w:rsidP="00D53CC6">
            <w:pPr>
              <w:rPr>
                <w:rFonts w:ascii="Garamond" w:hAnsi="Garamond" w:cs="Times New Roman"/>
                <w:sz w:val="24"/>
                <w:szCs w:val="24"/>
                <w:lang w:val="en-US"/>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BD3DE6" w:rsidRPr="00990078" w14:paraId="2862E9E3" w14:textId="77777777" w:rsidTr="00D53CC6">
              <w:trPr>
                <w:tblCellSpacing w:w="15" w:type="dxa"/>
              </w:trPr>
              <w:tc>
                <w:tcPr>
                  <w:tcW w:w="0" w:type="auto"/>
                  <w:tcMar>
                    <w:top w:w="15" w:type="dxa"/>
                    <w:left w:w="15" w:type="dxa"/>
                    <w:bottom w:w="15" w:type="dxa"/>
                    <w:right w:w="15" w:type="dxa"/>
                  </w:tcMar>
                  <w:vAlign w:val="center"/>
                  <w:hideMark/>
                </w:tcPr>
                <w:p w14:paraId="069F4D3E" w14:textId="77777777" w:rsidR="00BD3DE6" w:rsidRPr="00990078" w:rsidRDefault="00BD3DE6" w:rsidP="00D53CC6">
                  <w:pPr>
                    <w:rPr>
                      <w:rFonts w:ascii="Garamond" w:hAnsi="Garamond" w:cs="Times New Roman"/>
                    </w:rPr>
                  </w:pPr>
                  <w:r w:rsidRPr="00990078">
                    <w:rPr>
                      <w:rFonts w:ascii="Garamond" w:hAnsi="Garamond" w:cs="Times New Roman"/>
                    </w:rPr>
                    <w:t>Monthly Documentation Audits and Feedback: QA team audits 10 % of session notes monthly using the DCAT.</w:t>
                  </w:r>
                </w:p>
              </w:tc>
            </w:tr>
          </w:tbl>
          <w:p w14:paraId="75B3834D"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44E93B44" w14:textId="77777777" w:rsidTr="00D53CC6">
              <w:trPr>
                <w:tblCellSpacing w:w="15" w:type="dxa"/>
                <w:hidden/>
              </w:trPr>
              <w:tc>
                <w:tcPr>
                  <w:tcW w:w="0" w:type="auto"/>
                  <w:tcMar>
                    <w:top w:w="15" w:type="dxa"/>
                    <w:left w:w="15" w:type="dxa"/>
                    <w:bottom w:w="15" w:type="dxa"/>
                    <w:right w:w="15" w:type="dxa"/>
                  </w:tcMar>
                  <w:vAlign w:val="center"/>
                  <w:hideMark/>
                </w:tcPr>
                <w:p w14:paraId="02C11903" w14:textId="77777777" w:rsidR="00BD3DE6" w:rsidRPr="00990078" w:rsidRDefault="00BD3DE6" w:rsidP="00D53CC6">
                  <w:pPr>
                    <w:rPr>
                      <w:rFonts w:ascii="Garamond" w:hAnsi="Garamond" w:cs="Times New Roman"/>
                      <w:vanish/>
                    </w:rPr>
                  </w:pPr>
                </w:p>
              </w:tc>
            </w:tr>
          </w:tbl>
          <w:p w14:paraId="42937BDE" w14:textId="77777777" w:rsidR="00BD3DE6" w:rsidRPr="00990078" w:rsidRDefault="00BD3DE6" w:rsidP="00D53CC6">
            <w:pPr>
              <w:rPr>
                <w:rFonts w:ascii="Garamond" w:hAnsi="Garamond" w:cs="Times New Roman"/>
                <w:sz w:val="24"/>
                <w:szCs w:val="24"/>
                <w:lang w:val="en-US"/>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265"/>
            </w:tblGrid>
            <w:tr w:rsidR="00BD3DE6" w:rsidRPr="00990078" w14:paraId="4008E4EB" w14:textId="77777777" w:rsidTr="00D53CC6">
              <w:trPr>
                <w:tblCellSpacing w:w="15" w:type="dxa"/>
              </w:trPr>
              <w:tc>
                <w:tcPr>
                  <w:tcW w:w="0" w:type="auto"/>
                  <w:tcMar>
                    <w:top w:w="15" w:type="dxa"/>
                    <w:left w:w="15" w:type="dxa"/>
                    <w:bottom w:w="15" w:type="dxa"/>
                    <w:right w:w="15" w:type="dxa"/>
                  </w:tcMar>
                  <w:vAlign w:val="center"/>
                  <w:hideMark/>
                </w:tcPr>
                <w:p w14:paraId="2F03CE2A" w14:textId="77777777" w:rsidR="00BD3DE6" w:rsidRPr="00990078" w:rsidRDefault="00BD3DE6" w:rsidP="00D53CC6">
                  <w:pPr>
                    <w:rPr>
                      <w:rFonts w:ascii="Garamond" w:hAnsi="Garamond" w:cs="Times New Roman"/>
                    </w:rPr>
                  </w:pPr>
                  <w:r w:rsidRPr="00990078">
                    <w:rPr>
                      <w:rFonts w:ascii="Garamond" w:hAnsi="Garamond" w:cs="Times New Roman"/>
                    </w:rPr>
                    <w:t>April – June 2026</w:t>
                  </w:r>
                </w:p>
              </w:tc>
            </w:tr>
          </w:tbl>
          <w:p w14:paraId="3042E609"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6BE3EF11" w14:textId="77777777" w:rsidTr="00D53CC6">
              <w:trPr>
                <w:tblCellSpacing w:w="15" w:type="dxa"/>
                <w:hidden/>
              </w:trPr>
              <w:tc>
                <w:tcPr>
                  <w:tcW w:w="0" w:type="auto"/>
                  <w:tcMar>
                    <w:top w:w="15" w:type="dxa"/>
                    <w:left w:w="15" w:type="dxa"/>
                    <w:bottom w:w="15" w:type="dxa"/>
                    <w:right w:w="15" w:type="dxa"/>
                  </w:tcMar>
                  <w:vAlign w:val="center"/>
                  <w:hideMark/>
                </w:tcPr>
                <w:p w14:paraId="117FB8DF" w14:textId="77777777" w:rsidR="00BD3DE6" w:rsidRPr="00990078" w:rsidRDefault="00BD3DE6" w:rsidP="00D53CC6">
                  <w:pPr>
                    <w:rPr>
                      <w:rFonts w:ascii="Garamond" w:hAnsi="Garamond" w:cs="Times New Roman"/>
                      <w:vanish/>
                    </w:rPr>
                  </w:pPr>
                </w:p>
              </w:tc>
            </w:tr>
          </w:tbl>
          <w:p w14:paraId="225757E3" w14:textId="77777777" w:rsidR="00BD3DE6" w:rsidRPr="00990078" w:rsidRDefault="00BD3DE6" w:rsidP="00D53CC6">
            <w:pPr>
              <w:rPr>
                <w:rFonts w:ascii="Garamond" w:hAnsi="Garamond" w:cs="Times New Roman"/>
                <w:sz w:val="24"/>
                <w:szCs w:val="24"/>
                <w:lang w:val="en-US"/>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BD3DE6" w:rsidRPr="00990078" w14:paraId="48B98FD7" w14:textId="77777777" w:rsidTr="00D53CC6">
              <w:trPr>
                <w:tblCellSpacing w:w="15" w:type="dxa"/>
              </w:trPr>
              <w:tc>
                <w:tcPr>
                  <w:tcW w:w="0" w:type="auto"/>
                  <w:tcMar>
                    <w:top w:w="15" w:type="dxa"/>
                    <w:left w:w="15" w:type="dxa"/>
                    <w:bottom w:w="15" w:type="dxa"/>
                    <w:right w:w="15" w:type="dxa"/>
                  </w:tcMar>
                  <w:vAlign w:val="center"/>
                  <w:hideMark/>
                </w:tcPr>
                <w:p w14:paraId="0BD36AEC" w14:textId="77777777" w:rsidR="00BD3DE6" w:rsidRPr="00990078" w:rsidRDefault="00BD3DE6" w:rsidP="00D53CC6">
                  <w:pPr>
                    <w:rPr>
                      <w:rFonts w:ascii="Garamond" w:hAnsi="Garamond" w:cs="Times New Roman"/>
                    </w:rPr>
                  </w:pPr>
                  <w:r w:rsidRPr="00990078">
                    <w:rPr>
                      <w:rFonts w:ascii="Garamond" w:hAnsi="Garamond" w:cs="Times New Roman"/>
                    </w:rPr>
                    <w:t>Monthly compliance data recorded. Feedback provided to staff &lt; 90 % compliance. Recognition for ≥ 90 %.</w:t>
                  </w:r>
                </w:p>
              </w:tc>
            </w:tr>
          </w:tbl>
          <w:p w14:paraId="11CFF61D"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05E73289" w14:textId="77777777" w:rsidTr="00D53CC6">
              <w:trPr>
                <w:tblCellSpacing w:w="15" w:type="dxa"/>
                <w:hidden/>
              </w:trPr>
              <w:tc>
                <w:tcPr>
                  <w:tcW w:w="0" w:type="auto"/>
                  <w:tcMar>
                    <w:top w:w="15" w:type="dxa"/>
                    <w:left w:w="15" w:type="dxa"/>
                    <w:bottom w:w="15" w:type="dxa"/>
                    <w:right w:w="15" w:type="dxa"/>
                  </w:tcMar>
                  <w:vAlign w:val="center"/>
                  <w:hideMark/>
                </w:tcPr>
                <w:p w14:paraId="72216331" w14:textId="77777777" w:rsidR="00BD3DE6" w:rsidRPr="00990078" w:rsidRDefault="00BD3DE6" w:rsidP="00D53CC6">
                  <w:pPr>
                    <w:rPr>
                      <w:rFonts w:ascii="Garamond" w:hAnsi="Garamond" w:cs="Times New Roman"/>
                      <w:vanish/>
                    </w:rPr>
                  </w:pPr>
                </w:p>
              </w:tc>
            </w:tr>
          </w:tbl>
          <w:p w14:paraId="118A5C42" w14:textId="77777777" w:rsidR="00BD3DE6" w:rsidRPr="00990078" w:rsidRDefault="00BD3DE6" w:rsidP="00D53CC6">
            <w:pPr>
              <w:rPr>
                <w:rFonts w:ascii="Garamond" w:hAnsi="Garamond" w:cs="Times New Roman"/>
                <w:sz w:val="24"/>
                <w:szCs w:val="24"/>
                <w:lang w:val="en-US"/>
              </w:rPr>
            </w:pPr>
          </w:p>
        </w:tc>
      </w:tr>
      <w:tr w:rsidR="00BD3DE6" w:rsidRPr="00990078" w14:paraId="57F9D77C" w14:textId="77777777" w:rsidTr="00D53CC6">
        <w:tc>
          <w:tcPr>
            <w:tcW w:w="2519" w:type="dxa"/>
            <w:tcBorders>
              <w:top w:val="single" w:sz="4" w:space="0" w:color="auto"/>
              <w:left w:val="single" w:sz="4" w:space="0" w:color="auto"/>
              <w:bottom w:val="single" w:sz="4" w:space="0" w:color="auto"/>
              <w:right w:val="single" w:sz="4" w:space="0" w:color="auto"/>
            </w:tcBorders>
            <w:hideMark/>
          </w:tcPr>
          <w:p w14:paraId="5C3CEB75"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Post Intervention</w:t>
            </w:r>
          </w:p>
          <w:p w14:paraId="2821D580"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 xml:space="preserve">Data Collection </w:t>
            </w: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BD3DE6" w:rsidRPr="00990078" w14:paraId="1CB8978F" w14:textId="77777777" w:rsidTr="00D53CC6">
              <w:trPr>
                <w:tblCellSpacing w:w="15" w:type="dxa"/>
              </w:trPr>
              <w:tc>
                <w:tcPr>
                  <w:tcW w:w="0" w:type="auto"/>
                  <w:tcMar>
                    <w:top w:w="15" w:type="dxa"/>
                    <w:left w:w="15" w:type="dxa"/>
                    <w:bottom w:w="15" w:type="dxa"/>
                    <w:right w:w="15" w:type="dxa"/>
                  </w:tcMar>
                  <w:vAlign w:val="center"/>
                  <w:hideMark/>
                </w:tcPr>
                <w:p w14:paraId="35085BDA" w14:textId="77777777" w:rsidR="00BD3DE6" w:rsidRPr="00990078" w:rsidRDefault="00BD3DE6" w:rsidP="00D53CC6">
                  <w:pPr>
                    <w:rPr>
                      <w:rFonts w:ascii="Garamond" w:hAnsi="Garamond" w:cs="Times New Roman"/>
                    </w:rPr>
                  </w:pPr>
                  <w:r w:rsidRPr="00990078">
                    <w:rPr>
                      <w:rFonts w:ascii="Garamond" w:hAnsi="Garamond" w:cs="Times New Roman"/>
                    </w:rPr>
                    <w:t>Conduct final DCAT audit comparing baseline vs. post-implementation compliance and claim-denial data.</w:t>
                  </w:r>
                </w:p>
              </w:tc>
            </w:tr>
          </w:tbl>
          <w:p w14:paraId="709B08DC"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23DCE14F" w14:textId="77777777" w:rsidTr="00D53CC6">
              <w:trPr>
                <w:tblCellSpacing w:w="15" w:type="dxa"/>
                <w:hidden/>
              </w:trPr>
              <w:tc>
                <w:tcPr>
                  <w:tcW w:w="0" w:type="auto"/>
                  <w:tcMar>
                    <w:top w:w="15" w:type="dxa"/>
                    <w:left w:w="15" w:type="dxa"/>
                    <w:bottom w:w="15" w:type="dxa"/>
                    <w:right w:w="15" w:type="dxa"/>
                  </w:tcMar>
                  <w:vAlign w:val="center"/>
                  <w:hideMark/>
                </w:tcPr>
                <w:p w14:paraId="06AFDDCE" w14:textId="77777777" w:rsidR="00BD3DE6" w:rsidRPr="00990078" w:rsidRDefault="00BD3DE6" w:rsidP="00D53CC6">
                  <w:pPr>
                    <w:rPr>
                      <w:rFonts w:ascii="Garamond" w:hAnsi="Garamond" w:cs="Times New Roman"/>
                      <w:vanish/>
                    </w:rPr>
                  </w:pPr>
                </w:p>
              </w:tc>
            </w:tr>
          </w:tbl>
          <w:p w14:paraId="6BBC5363" w14:textId="77777777" w:rsidR="00BD3DE6" w:rsidRPr="00990078" w:rsidRDefault="00BD3DE6" w:rsidP="00D53CC6">
            <w:pPr>
              <w:rPr>
                <w:rFonts w:ascii="Garamond" w:hAnsi="Garamond" w:cs="Times New Roman"/>
                <w:sz w:val="24"/>
                <w:szCs w:val="24"/>
                <w:lang w:val="en-US"/>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953"/>
            </w:tblGrid>
            <w:tr w:rsidR="00BD3DE6" w:rsidRPr="00990078" w14:paraId="1F9D1476" w14:textId="77777777" w:rsidTr="00D53CC6">
              <w:trPr>
                <w:tblCellSpacing w:w="15" w:type="dxa"/>
              </w:trPr>
              <w:tc>
                <w:tcPr>
                  <w:tcW w:w="0" w:type="auto"/>
                  <w:tcMar>
                    <w:top w:w="15" w:type="dxa"/>
                    <w:left w:w="15" w:type="dxa"/>
                    <w:bottom w:w="15" w:type="dxa"/>
                    <w:right w:w="15" w:type="dxa"/>
                  </w:tcMar>
                  <w:vAlign w:val="center"/>
                  <w:hideMark/>
                </w:tcPr>
                <w:p w14:paraId="32D7E5F1" w14:textId="77777777" w:rsidR="00BD3DE6" w:rsidRPr="00990078" w:rsidRDefault="00BD3DE6" w:rsidP="00D53CC6">
                  <w:pPr>
                    <w:rPr>
                      <w:rFonts w:ascii="Garamond" w:hAnsi="Garamond" w:cs="Times New Roman"/>
                    </w:rPr>
                  </w:pPr>
                  <w:r w:rsidRPr="00990078">
                    <w:rPr>
                      <w:rFonts w:ascii="Garamond" w:hAnsi="Garamond" w:cs="Times New Roman"/>
                    </w:rPr>
                    <w:t>July 2027</w:t>
                  </w:r>
                </w:p>
              </w:tc>
            </w:tr>
          </w:tbl>
          <w:p w14:paraId="6826B866"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48EDCF9E" w14:textId="77777777" w:rsidTr="00D53CC6">
              <w:trPr>
                <w:tblCellSpacing w:w="15" w:type="dxa"/>
                <w:hidden/>
              </w:trPr>
              <w:tc>
                <w:tcPr>
                  <w:tcW w:w="0" w:type="auto"/>
                  <w:tcMar>
                    <w:top w:w="15" w:type="dxa"/>
                    <w:left w:w="15" w:type="dxa"/>
                    <w:bottom w:w="15" w:type="dxa"/>
                    <w:right w:w="15" w:type="dxa"/>
                  </w:tcMar>
                  <w:vAlign w:val="center"/>
                  <w:hideMark/>
                </w:tcPr>
                <w:p w14:paraId="307D1079" w14:textId="77777777" w:rsidR="00BD3DE6" w:rsidRPr="00990078" w:rsidRDefault="00BD3DE6" w:rsidP="00D53CC6">
                  <w:pPr>
                    <w:rPr>
                      <w:rFonts w:ascii="Garamond" w:hAnsi="Garamond" w:cs="Times New Roman"/>
                      <w:vanish/>
                    </w:rPr>
                  </w:pPr>
                </w:p>
              </w:tc>
            </w:tr>
          </w:tbl>
          <w:p w14:paraId="6642BC2F" w14:textId="77777777" w:rsidR="00BD3DE6" w:rsidRPr="00990078" w:rsidRDefault="00BD3DE6" w:rsidP="00D53CC6">
            <w:pPr>
              <w:rPr>
                <w:rFonts w:ascii="Garamond" w:hAnsi="Garamond" w:cs="Times New Roman"/>
                <w:sz w:val="24"/>
                <w:szCs w:val="24"/>
                <w:lang w:val="en-US"/>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BD3DE6" w:rsidRPr="00990078" w14:paraId="3B6190ED" w14:textId="77777777" w:rsidTr="00D53CC6">
              <w:trPr>
                <w:tblCellSpacing w:w="15" w:type="dxa"/>
              </w:trPr>
              <w:tc>
                <w:tcPr>
                  <w:tcW w:w="0" w:type="auto"/>
                  <w:tcMar>
                    <w:top w:w="15" w:type="dxa"/>
                    <w:left w:w="15" w:type="dxa"/>
                    <w:bottom w:w="15" w:type="dxa"/>
                    <w:right w:w="15" w:type="dxa"/>
                  </w:tcMar>
                  <w:vAlign w:val="center"/>
                  <w:hideMark/>
                </w:tcPr>
                <w:p w14:paraId="293A4479" w14:textId="77777777" w:rsidR="00BD3DE6" w:rsidRPr="00990078" w:rsidRDefault="00BD3DE6" w:rsidP="00D53CC6">
                  <w:pPr>
                    <w:rPr>
                      <w:rFonts w:ascii="Garamond" w:hAnsi="Garamond" w:cs="Times New Roman"/>
                    </w:rPr>
                  </w:pPr>
                  <w:r w:rsidRPr="00990078">
                    <w:rPr>
                      <w:rFonts w:ascii="Garamond" w:hAnsi="Garamond" w:cs="Times New Roman"/>
                    </w:rPr>
                    <w:t>Quantitative data compiled for outcome analysis. Evaluate sustainability of improvements over 12 months.</w:t>
                  </w:r>
                </w:p>
              </w:tc>
            </w:tr>
          </w:tbl>
          <w:p w14:paraId="2901AC11"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76BFF70B" w14:textId="77777777" w:rsidTr="00D53CC6">
              <w:trPr>
                <w:tblCellSpacing w:w="15" w:type="dxa"/>
                <w:hidden/>
              </w:trPr>
              <w:tc>
                <w:tcPr>
                  <w:tcW w:w="0" w:type="auto"/>
                  <w:tcMar>
                    <w:top w:w="15" w:type="dxa"/>
                    <w:left w:w="15" w:type="dxa"/>
                    <w:bottom w:w="15" w:type="dxa"/>
                    <w:right w:w="15" w:type="dxa"/>
                  </w:tcMar>
                  <w:vAlign w:val="center"/>
                  <w:hideMark/>
                </w:tcPr>
                <w:p w14:paraId="4032C518" w14:textId="77777777" w:rsidR="00BD3DE6" w:rsidRPr="00990078" w:rsidRDefault="00BD3DE6" w:rsidP="00D53CC6">
                  <w:pPr>
                    <w:rPr>
                      <w:rFonts w:ascii="Garamond" w:hAnsi="Garamond" w:cs="Times New Roman"/>
                      <w:vanish/>
                    </w:rPr>
                  </w:pPr>
                </w:p>
              </w:tc>
            </w:tr>
          </w:tbl>
          <w:p w14:paraId="3D754C38" w14:textId="77777777" w:rsidR="00BD3DE6" w:rsidRPr="00990078" w:rsidRDefault="00BD3DE6" w:rsidP="00D53CC6">
            <w:pPr>
              <w:rPr>
                <w:rFonts w:ascii="Garamond" w:hAnsi="Garamond" w:cs="Times New Roman"/>
                <w:sz w:val="24"/>
                <w:szCs w:val="24"/>
                <w:lang w:val="en-US"/>
              </w:rPr>
            </w:pPr>
          </w:p>
        </w:tc>
      </w:tr>
      <w:tr w:rsidR="00BD3DE6" w:rsidRPr="00990078" w14:paraId="76429E80" w14:textId="77777777" w:rsidTr="00D53CC6">
        <w:tc>
          <w:tcPr>
            <w:tcW w:w="2519" w:type="dxa"/>
            <w:tcBorders>
              <w:top w:val="single" w:sz="4" w:space="0" w:color="auto"/>
              <w:left w:val="single" w:sz="4" w:space="0" w:color="auto"/>
              <w:bottom w:val="single" w:sz="4" w:space="0" w:color="auto"/>
              <w:right w:val="single" w:sz="4" w:space="0" w:color="auto"/>
            </w:tcBorders>
          </w:tcPr>
          <w:p w14:paraId="26CC9367" w14:textId="77777777" w:rsidR="00BD3DE6" w:rsidRPr="00990078" w:rsidRDefault="00BD3DE6" w:rsidP="00D53CC6">
            <w:pPr>
              <w:rPr>
                <w:rFonts w:ascii="Garamond" w:hAnsi="Garamond" w:cs="Times New Roman"/>
                <w:sz w:val="24"/>
                <w:szCs w:val="24"/>
                <w:lang w:val="en-US"/>
              </w:rPr>
            </w:pPr>
          </w:p>
          <w:p w14:paraId="113FAAB7" w14:textId="77777777" w:rsidR="00BD3DE6" w:rsidRPr="00990078" w:rsidRDefault="00BD3DE6" w:rsidP="00D53CC6">
            <w:pPr>
              <w:rPr>
                <w:rFonts w:ascii="Garamond" w:hAnsi="Garamond" w:cs="Times New Roman"/>
                <w:sz w:val="24"/>
                <w:szCs w:val="24"/>
                <w:lang w:val="en-US"/>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BD3DE6" w:rsidRPr="00990078" w14:paraId="50DA0EC9" w14:textId="77777777" w:rsidTr="00D53CC6">
              <w:trPr>
                <w:tblCellSpacing w:w="15" w:type="dxa"/>
              </w:trPr>
              <w:tc>
                <w:tcPr>
                  <w:tcW w:w="0" w:type="auto"/>
                  <w:tcMar>
                    <w:top w:w="15" w:type="dxa"/>
                    <w:left w:w="15" w:type="dxa"/>
                    <w:bottom w:w="15" w:type="dxa"/>
                    <w:right w:w="15" w:type="dxa"/>
                  </w:tcMar>
                  <w:vAlign w:val="center"/>
                  <w:hideMark/>
                </w:tcPr>
                <w:p w14:paraId="5284EF38" w14:textId="77777777" w:rsidR="00BD3DE6" w:rsidRPr="00990078" w:rsidRDefault="00BD3DE6" w:rsidP="00D53CC6">
                  <w:pPr>
                    <w:rPr>
                      <w:rFonts w:ascii="Garamond" w:hAnsi="Garamond" w:cs="Times New Roman"/>
                    </w:rPr>
                  </w:pPr>
                  <w:r w:rsidRPr="00990078">
                    <w:rPr>
                      <w:rFonts w:ascii="Garamond" w:hAnsi="Garamond" w:cs="Times New Roman"/>
                    </w:rPr>
                    <w:t>Gather qualitative feedback from staff satisfaction survey and leadership review.</w:t>
                  </w:r>
                </w:p>
              </w:tc>
            </w:tr>
          </w:tbl>
          <w:p w14:paraId="58760DE2"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3C0F4308" w14:textId="77777777" w:rsidTr="00D53CC6">
              <w:trPr>
                <w:tblCellSpacing w:w="15" w:type="dxa"/>
                <w:hidden/>
              </w:trPr>
              <w:tc>
                <w:tcPr>
                  <w:tcW w:w="0" w:type="auto"/>
                  <w:tcMar>
                    <w:top w:w="15" w:type="dxa"/>
                    <w:left w:w="15" w:type="dxa"/>
                    <w:bottom w:w="15" w:type="dxa"/>
                    <w:right w:w="15" w:type="dxa"/>
                  </w:tcMar>
                  <w:vAlign w:val="center"/>
                  <w:hideMark/>
                </w:tcPr>
                <w:p w14:paraId="43FF8146" w14:textId="77777777" w:rsidR="00BD3DE6" w:rsidRPr="00990078" w:rsidRDefault="00BD3DE6" w:rsidP="00D53CC6">
                  <w:pPr>
                    <w:rPr>
                      <w:rFonts w:ascii="Garamond" w:hAnsi="Garamond" w:cs="Times New Roman"/>
                      <w:vanish/>
                    </w:rPr>
                  </w:pPr>
                </w:p>
              </w:tc>
            </w:tr>
          </w:tbl>
          <w:p w14:paraId="308B5343" w14:textId="77777777" w:rsidR="00BD3DE6" w:rsidRPr="00990078" w:rsidRDefault="00BD3DE6" w:rsidP="00D53CC6">
            <w:pPr>
              <w:rPr>
                <w:rFonts w:ascii="Garamond" w:hAnsi="Garamond" w:cs="Times New Roman"/>
                <w:sz w:val="24"/>
                <w:szCs w:val="24"/>
                <w:lang w:val="en-US"/>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953"/>
            </w:tblGrid>
            <w:tr w:rsidR="00BD3DE6" w:rsidRPr="00990078" w14:paraId="3DE7E0E5" w14:textId="77777777" w:rsidTr="00D53CC6">
              <w:trPr>
                <w:tblCellSpacing w:w="15" w:type="dxa"/>
              </w:trPr>
              <w:tc>
                <w:tcPr>
                  <w:tcW w:w="0" w:type="auto"/>
                  <w:tcMar>
                    <w:top w:w="15" w:type="dxa"/>
                    <w:left w:w="15" w:type="dxa"/>
                    <w:bottom w:w="15" w:type="dxa"/>
                    <w:right w:w="15" w:type="dxa"/>
                  </w:tcMar>
                  <w:vAlign w:val="center"/>
                  <w:hideMark/>
                </w:tcPr>
                <w:p w14:paraId="6C060482" w14:textId="77777777" w:rsidR="00BD3DE6" w:rsidRPr="00990078" w:rsidRDefault="00BD3DE6" w:rsidP="00D53CC6">
                  <w:pPr>
                    <w:rPr>
                      <w:rFonts w:ascii="Garamond" w:hAnsi="Garamond" w:cs="Times New Roman"/>
                    </w:rPr>
                  </w:pPr>
                  <w:r w:rsidRPr="00990078">
                    <w:rPr>
                      <w:rFonts w:ascii="Garamond" w:hAnsi="Garamond" w:cs="Times New Roman"/>
                    </w:rPr>
                    <w:t>July 2027</w:t>
                  </w:r>
                </w:p>
              </w:tc>
            </w:tr>
          </w:tbl>
          <w:p w14:paraId="03AB79CD"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2CDE7B4E" w14:textId="77777777" w:rsidTr="00D53CC6">
              <w:trPr>
                <w:tblCellSpacing w:w="15" w:type="dxa"/>
                <w:hidden/>
              </w:trPr>
              <w:tc>
                <w:tcPr>
                  <w:tcW w:w="0" w:type="auto"/>
                  <w:tcMar>
                    <w:top w:w="15" w:type="dxa"/>
                    <w:left w:w="15" w:type="dxa"/>
                    <w:bottom w:w="15" w:type="dxa"/>
                    <w:right w:w="15" w:type="dxa"/>
                  </w:tcMar>
                  <w:vAlign w:val="center"/>
                  <w:hideMark/>
                </w:tcPr>
                <w:p w14:paraId="646C6152" w14:textId="77777777" w:rsidR="00BD3DE6" w:rsidRPr="00990078" w:rsidRDefault="00BD3DE6" w:rsidP="00D53CC6">
                  <w:pPr>
                    <w:rPr>
                      <w:rFonts w:ascii="Garamond" w:hAnsi="Garamond" w:cs="Times New Roman"/>
                      <w:vanish/>
                    </w:rPr>
                  </w:pPr>
                </w:p>
              </w:tc>
            </w:tr>
          </w:tbl>
          <w:p w14:paraId="6E2D241E" w14:textId="77777777" w:rsidR="00BD3DE6" w:rsidRPr="00990078" w:rsidRDefault="00BD3DE6" w:rsidP="00D53CC6">
            <w:pPr>
              <w:rPr>
                <w:rFonts w:ascii="Garamond" w:hAnsi="Garamond" w:cs="Times New Roman"/>
                <w:sz w:val="24"/>
                <w:szCs w:val="24"/>
                <w:lang w:val="en-US"/>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BD3DE6" w:rsidRPr="00990078" w14:paraId="38D56F01" w14:textId="77777777" w:rsidTr="00D53CC6">
              <w:trPr>
                <w:tblCellSpacing w:w="15" w:type="dxa"/>
              </w:trPr>
              <w:tc>
                <w:tcPr>
                  <w:tcW w:w="0" w:type="auto"/>
                  <w:tcMar>
                    <w:top w:w="15" w:type="dxa"/>
                    <w:left w:w="15" w:type="dxa"/>
                    <w:bottom w:w="15" w:type="dxa"/>
                    <w:right w:w="15" w:type="dxa"/>
                  </w:tcMar>
                  <w:vAlign w:val="center"/>
                  <w:hideMark/>
                </w:tcPr>
                <w:p w14:paraId="54CF895C" w14:textId="77777777" w:rsidR="00BD3DE6" w:rsidRPr="00990078" w:rsidRDefault="00BD3DE6" w:rsidP="00D53CC6">
                  <w:pPr>
                    <w:rPr>
                      <w:rFonts w:ascii="Garamond" w:hAnsi="Garamond" w:cs="Times New Roman"/>
                    </w:rPr>
                  </w:pPr>
                  <w:r w:rsidRPr="00990078">
                    <w:rPr>
                      <w:rFonts w:ascii="Garamond" w:hAnsi="Garamond" w:cs="Times New Roman"/>
                    </w:rPr>
                    <w:t>Summarize staff perceptions of checklist usability and workflow efficiency.</w:t>
                  </w:r>
                </w:p>
              </w:tc>
            </w:tr>
          </w:tbl>
          <w:p w14:paraId="6F10585F"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67D9CF3B" w14:textId="77777777" w:rsidTr="00D53CC6">
              <w:trPr>
                <w:tblCellSpacing w:w="15" w:type="dxa"/>
                <w:hidden/>
              </w:trPr>
              <w:tc>
                <w:tcPr>
                  <w:tcW w:w="0" w:type="auto"/>
                  <w:tcMar>
                    <w:top w:w="15" w:type="dxa"/>
                    <w:left w:w="15" w:type="dxa"/>
                    <w:bottom w:w="15" w:type="dxa"/>
                    <w:right w:w="15" w:type="dxa"/>
                  </w:tcMar>
                  <w:vAlign w:val="center"/>
                  <w:hideMark/>
                </w:tcPr>
                <w:p w14:paraId="611B1AA3" w14:textId="77777777" w:rsidR="00BD3DE6" w:rsidRPr="00990078" w:rsidRDefault="00BD3DE6" w:rsidP="00D53CC6">
                  <w:pPr>
                    <w:rPr>
                      <w:rFonts w:ascii="Garamond" w:hAnsi="Garamond" w:cs="Times New Roman"/>
                      <w:vanish/>
                    </w:rPr>
                  </w:pPr>
                </w:p>
              </w:tc>
            </w:tr>
          </w:tbl>
          <w:p w14:paraId="29EFF97B" w14:textId="77777777" w:rsidR="00BD3DE6" w:rsidRPr="00990078" w:rsidRDefault="00BD3DE6" w:rsidP="00D53CC6">
            <w:pPr>
              <w:rPr>
                <w:rFonts w:ascii="Garamond" w:hAnsi="Garamond" w:cs="Times New Roman"/>
                <w:sz w:val="24"/>
                <w:szCs w:val="24"/>
                <w:lang w:val="en-US"/>
              </w:rPr>
            </w:pPr>
          </w:p>
        </w:tc>
      </w:tr>
      <w:tr w:rsidR="00BD3DE6" w:rsidRPr="00990078" w14:paraId="7C94F26E" w14:textId="77777777" w:rsidTr="00D53CC6">
        <w:tc>
          <w:tcPr>
            <w:tcW w:w="2519" w:type="dxa"/>
            <w:tcBorders>
              <w:top w:val="single" w:sz="4" w:space="0" w:color="auto"/>
              <w:left w:val="single" w:sz="4" w:space="0" w:color="auto"/>
              <w:bottom w:val="single" w:sz="4" w:space="0" w:color="auto"/>
              <w:right w:val="single" w:sz="4" w:space="0" w:color="auto"/>
            </w:tcBorders>
          </w:tcPr>
          <w:p w14:paraId="74C784E4" w14:textId="77777777" w:rsidR="00BD3DE6" w:rsidRPr="00990078" w:rsidRDefault="00BD3DE6" w:rsidP="00D53CC6">
            <w:pPr>
              <w:rPr>
                <w:rFonts w:ascii="Garamond" w:hAnsi="Garamond" w:cs="Times New Roman"/>
                <w:b/>
                <w:bCs/>
                <w:sz w:val="24"/>
                <w:szCs w:val="24"/>
                <w:lang w:val="en-US"/>
              </w:rPr>
            </w:pPr>
            <w:r w:rsidRPr="00990078">
              <w:rPr>
                <w:rFonts w:ascii="Garamond" w:hAnsi="Garamond" w:cs="Times New Roman"/>
                <w:b/>
                <w:bCs/>
                <w:sz w:val="24"/>
                <w:szCs w:val="24"/>
                <w:lang w:val="en-US"/>
              </w:rPr>
              <w:lastRenderedPageBreak/>
              <w:t>Analysis and Dissemination Phase</w:t>
            </w:r>
          </w:p>
          <w:p w14:paraId="25420A5A" w14:textId="77777777" w:rsidR="00BD3DE6" w:rsidRPr="00990078" w:rsidRDefault="00BD3DE6" w:rsidP="00D53CC6">
            <w:pPr>
              <w:rPr>
                <w:rFonts w:ascii="Garamond" w:hAnsi="Garamond" w:cs="Times New Roman"/>
                <w:sz w:val="24"/>
                <w:szCs w:val="24"/>
                <w:lang w:val="en-US"/>
              </w:rPr>
            </w:pPr>
          </w:p>
        </w:tc>
        <w:tc>
          <w:tcPr>
            <w:tcW w:w="2066" w:type="dxa"/>
            <w:tcBorders>
              <w:top w:val="single" w:sz="4" w:space="0" w:color="auto"/>
              <w:left w:val="single" w:sz="4" w:space="0" w:color="auto"/>
              <w:bottom w:val="single" w:sz="4" w:space="0" w:color="auto"/>
              <w:right w:val="single" w:sz="4" w:space="0" w:color="auto"/>
            </w:tcBorders>
            <w:hideMark/>
          </w:tcPr>
          <w:p w14:paraId="7193EB58"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 xml:space="preserve">IBC 793 </w:t>
            </w:r>
          </w:p>
          <w:p w14:paraId="52B88834"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Applied Project 2 course</w:t>
            </w:r>
          </w:p>
        </w:tc>
        <w:tc>
          <w:tcPr>
            <w:tcW w:w="1481" w:type="dxa"/>
            <w:tcBorders>
              <w:top w:val="single" w:sz="4" w:space="0" w:color="auto"/>
              <w:left w:val="single" w:sz="4" w:space="0" w:color="auto"/>
              <w:bottom w:val="single" w:sz="4" w:space="0" w:color="auto"/>
              <w:right w:val="single" w:sz="4" w:space="0" w:color="auto"/>
            </w:tcBorders>
          </w:tcPr>
          <w:p w14:paraId="0C4E08D6"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List Term to be enrolled: Spring 2026</w:t>
            </w:r>
          </w:p>
          <w:p w14:paraId="28B5BA55" w14:textId="77777777" w:rsidR="00BD3DE6" w:rsidRPr="00990078" w:rsidRDefault="00BD3DE6" w:rsidP="00D53CC6">
            <w:pPr>
              <w:rPr>
                <w:rFonts w:ascii="Garamond" w:hAnsi="Garamond" w:cs="Times New Roman"/>
                <w:sz w:val="24"/>
                <w:szCs w:val="24"/>
                <w:lang w:val="en-US"/>
              </w:rPr>
            </w:pPr>
          </w:p>
          <w:p w14:paraId="5EBA1862" w14:textId="77777777" w:rsidR="00BD3DE6" w:rsidRPr="00990078" w:rsidRDefault="00BD3DE6" w:rsidP="00D53CC6">
            <w:pPr>
              <w:rPr>
                <w:rFonts w:ascii="Garamond" w:hAnsi="Garamond" w:cs="Times New Roman"/>
                <w:sz w:val="24"/>
                <w:szCs w:val="24"/>
                <w:lang w:val="en-US"/>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BD3DE6" w:rsidRPr="00990078" w14:paraId="3760312E" w14:textId="77777777" w:rsidTr="00D53CC6">
              <w:trPr>
                <w:tblCellSpacing w:w="15" w:type="dxa"/>
              </w:trPr>
              <w:tc>
                <w:tcPr>
                  <w:tcW w:w="0" w:type="auto"/>
                  <w:tcMar>
                    <w:top w:w="15" w:type="dxa"/>
                    <w:left w:w="15" w:type="dxa"/>
                    <w:bottom w:w="15" w:type="dxa"/>
                    <w:right w:w="15" w:type="dxa"/>
                  </w:tcMar>
                  <w:vAlign w:val="center"/>
                  <w:hideMark/>
                </w:tcPr>
                <w:p w14:paraId="244648B6" w14:textId="77777777" w:rsidR="00BD3DE6" w:rsidRPr="00990078" w:rsidRDefault="00BD3DE6" w:rsidP="00D53CC6">
                  <w:pPr>
                    <w:rPr>
                      <w:rFonts w:ascii="Garamond" w:hAnsi="Garamond" w:cs="Times New Roman"/>
                    </w:rPr>
                  </w:pPr>
                  <w:r w:rsidRPr="00990078">
                    <w:rPr>
                      <w:rFonts w:ascii="Garamond" w:hAnsi="Garamond" w:cs="Times New Roman"/>
                    </w:rPr>
                    <w:t>Analyze all data using descriptive statistics and run-chart comparisons to demonstrate improvement trends. Draft final Applied Project paper and poster presentation for ASU submission.</w:t>
                  </w:r>
                </w:p>
              </w:tc>
            </w:tr>
          </w:tbl>
          <w:p w14:paraId="004B7AFF" w14:textId="77777777" w:rsidR="00BD3DE6" w:rsidRPr="00990078" w:rsidRDefault="00BD3DE6" w:rsidP="00D53CC6">
            <w:pPr>
              <w:rPr>
                <w:rFonts w:ascii="Garamond" w:hAnsi="Garamond" w:cs="Times New Roman"/>
                <w:vanish/>
                <w:sz w:val="24"/>
                <w:szCs w:val="24"/>
                <w:lang w:val="en-US"/>
              </w:rPr>
            </w:pPr>
          </w:p>
          <w:tbl>
            <w:tblPr>
              <w:tblW w:w="0" w:type="auto"/>
              <w:tblCellSpacing w:w="15" w:type="dxa"/>
              <w:tblLook w:val="04A0" w:firstRow="1" w:lastRow="0" w:firstColumn="1" w:lastColumn="0" w:noHBand="0" w:noVBand="1"/>
            </w:tblPr>
            <w:tblGrid>
              <w:gridCol w:w="96"/>
            </w:tblGrid>
            <w:tr w:rsidR="00BD3DE6" w:rsidRPr="00990078" w14:paraId="0395CDC0" w14:textId="77777777" w:rsidTr="00D53CC6">
              <w:trPr>
                <w:tblCellSpacing w:w="15" w:type="dxa"/>
                <w:hidden/>
              </w:trPr>
              <w:tc>
                <w:tcPr>
                  <w:tcW w:w="0" w:type="auto"/>
                  <w:tcMar>
                    <w:top w:w="15" w:type="dxa"/>
                    <w:left w:w="15" w:type="dxa"/>
                    <w:bottom w:w="15" w:type="dxa"/>
                    <w:right w:w="15" w:type="dxa"/>
                  </w:tcMar>
                  <w:vAlign w:val="center"/>
                  <w:hideMark/>
                </w:tcPr>
                <w:p w14:paraId="6ABA2E79" w14:textId="77777777" w:rsidR="00BD3DE6" w:rsidRPr="00990078" w:rsidRDefault="00BD3DE6" w:rsidP="00D53CC6">
                  <w:pPr>
                    <w:rPr>
                      <w:rFonts w:ascii="Garamond" w:hAnsi="Garamond" w:cs="Times New Roman"/>
                      <w:vanish/>
                    </w:rPr>
                  </w:pPr>
                </w:p>
              </w:tc>
            </w:tr>
          </w:tbl>
          <w:p w14:paraId="2502EEEE" w14:textId="77777777" w:rsidR="00BD3DE6" w:rsidRPr="00990078" w:rsidRDefault="00BD3DE6" w:rsidP="00D53CC6">
            <w:pPr>
              <w:rPr>
                <w:rFonts w:ascii="Garamond" w:hAnsi="Garamond" w:cs="Times New Roman"/>
                <w:sz w:val="24"/>
                <w:szCs w:val="24"/>
                <w:lang w:val="en-US"/>
              </w:rPr>
            </w:pPr>
          </w:p>
        </w:tc>
      </w:tr>
      <w:tr w:rsidR="00BD3DE6" w:rsidRPr="00990078" w14:paraId="0C7FA613" w14:textId="77777777" w:rsidTr="00D53CC6">
        <w:tc>
          <w:tcPr>
            <w:tcW w:w="2519" w:type="dxa"/>
            <w:tcBorders>
              <w:top w:val="single" w:sz="4" w:space="0" w:color="auto"/>
              <w:left w:val="single" w:sz="4" w:space="0" w:color="auto"/>
              <w:bottom w:val="single" w:sz="4" w:space="0" w:color="auto"/>
              <w:right w:val="single" w:sz="4" w:space="0" w:color="auto"/>
            </w:tcBorders>
            <w:hideMark/>
          </w:tcPr>
          <w:p w14:paraId="79255B38" w14:textId="77777777" w:rsidR="00BD3DE6" w:rsidRPr="00990078" w:rsidRDefault="00BD3DE6" w:rsidP="00D53CC6">
            <w:pPr>
              <w:rPr>
                <w:rFonts w:ascii="Garamond" w:hAnsi="Garamond" w:cs="Times New Roman"/>
                <w:b/>
                <w:bCs/>
                <w:sz w:val="24"/>
                <w:szCs w:val="24"/>
                <w:lang w:val="en-US"/>
              </w:rPr>
            </w:pPr>
            <w:r w:rsidRPr="00990078">
              <w:rPr>
                <w:rFonts w:ascii="Garamond" w:hAnsi="Garamond" w:cs="Times New Roman"/>
                <w:b/>
                <w:bCs/>
                <w:sz w:val="24"/>
                <w:szCs w:val="24"/>
                <w:lang w:val="en-US"/>
              </w:rPr>
              <w:t>Potential Dissemination Plans</w:t>
            </w:r>
          </w:p>
        </w:tc>
        <w:tc>
          <w:tcPr>
            <w:tcW w:w="2066" w:type="dxa"/>
            <w:tcBorders>
              <w:top w:val="single" w:sz="4" w:space="0" w:color="auto"/>
              <w:left w:val="single" w:sz="4" w:space="0" w:color="auto"/>
              <w:bottom w:val="single" w:sz="4" w:space="0" w:color="auto"/>
              <w:right w:val="single" w:sz="4" w:space="0" w:color="auto"/>
            </w:tcBorders>
          </w:tcPr>
          <w:p w14:paraId="29297DE3" w14:textId="77777777" w:rsidR="00BD3DE6" w:rsidRPr="00990078" w:rsidRDefault="00BD3DE6" w:rsidP="00D53CC6">
            <w:pPr>
              <w:rPr>
                <w:rFonts w:ascii="Garamond" w:hAnsi="Garamond" w:cs="Times New Roman"/>
                <w:sz w:val="24"/>
                <w:szCs w:val="24"/>
                <w:lang w:val="en-US"/>
              </w:rPr>
            </w:pPr>
          </w:p>
        </w:tc>
        <w:tc>
          <w:tcPr>
            <w:tcW w:w="1481" w:type="dxa"/>
            <w:tcBorders>
              <w:top w:val="single" w:sz="4" w:space="0" w:color="auto"/>
              <w:left w:val="single" w:sz="4" w:space="0" w:color="auto"/>
              <w:bottom w:val="single" w:sz="4" w:space="0" w:color="auto"/>
              <w:right w:val="single" w:sz="4" w:space="0" w:color="auto"/>
            </w:tcBorders>
            <w:hideMark/>
          </w:tcPr>
          <w:p w14:paraId="37CF41C3"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Spring-Summer</w:t>
            </w:r>
          </w:p>
          <w:p w14:paraId="251A9694"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2026</w:t>
            </w:r>
          </w:p>
        </w:tc>
        <w:tc>
          <w:tcPr>
            <w:tcW w:w="4459" w:type="dxa"/>
            <w:tcBorders>
              <w:top w:val="single" w:sz="4" w:space="0" w:color="auto"/>
              <w:left w:val="single" w:sz="4" w:space="0" w:color="auto"/>
              <w:bottom w:val="single" w:sz="4" w:space="0" w:color="auto"/>
              <w:right w:val="single" w:sz="4" w:space="0" w:color="auto"/>
            </w:tcBorders>
          </w:tcPr>
          <w:p w14:paraId="080F8336" w14:textId="77777777" w:rsidR="00BD3DE6" w:rsidRPr="00990078" w:rsidRDefault="00BD3DE6" w:rsidP="00D53CC6">
            <w:pPr>
              <w:rPr>
                <w:rFonts w:ascii="Garamond" w:hAnsi="Garamond" w:cs="Times New Roman"/>
                <w:sz w:val="24"/>
                <w:szCs w:val="24"/>
                <w:lang w:val="en-US"/>
              </w:rPr>
            </w:pPr>
            <w:r w:rsidRPr="00990078">
              <w:rPr>
                <w:rFonts w:ascii="Garamond" w:hAnsi="Garamond" w:cs="Times New Roman"/>
                <w:sz w:val="24"/>
                <w:szCs w:val="24"/>
                <w:lang w:val="en-US"/>
              </w:rPr>
              <w:t>The Billing Specialist and Clinical Director will review the final outcomes with leadership to identify additional payer compliance opportunities, refine documentation workflows, and establish audit benchmarks for the next fiscal year.</w:t>
            </w:r>
          </w:p>
          <w:p w14:paraId="5629611E" w14:textId="77777777" w:rsidR="00BD3DE6" w:rsidRPr="00990078" w:rsidRDefault="00BD3DE6" w:rsidP="00D53CC6">
            <w:pPr>
              <w:rPr>
                <w:rFonts w:ascii="Garamond" w:hAnsi="Garamond" w:cs="Times New Roman"/>
                <w:sz w:val="24"/>
                <w:szCs w:val="24"/>
                <w:lang w:val="en-US"/>
              </w:rPr>
            </w:pPr>
          </w:p>
        </w:tc>
      </w:tr>
    </w:tbl>
    <w:p w14:paraId="0D7B6731" w14:textId="77777777" w:rsidR="00BD3DE6" w:rsidRPr="00990078" w:rsidRDefault="00BD3DE6" w:rsidP="00BD3DE6">
      <w:pPr>
        <w:rPr>
          <w:rFonts w:ascii="Garamond" w:hAnsi="Garamond"/>
        </w:rPr>
      </w:pPr>
    </w:p>
    <w:p w14:paraId="7863880C" w14:textId="178F67E1" w:rsidR="00BD3DE6" w:rsidRPr="00990078" w:rsidRDefault="00F00586" w:rsidP="00BD3DE6">
      <w:pPr>
        <w:rPr>
          <w:rFonts w:ascii="Garamond" w:hAnsi="Garamond"/>
        </w:rPr>
      </w:pPr>
      <w:r w:rsidRPr="00990078">
        <w:rPr>
          <w:rFonts w:ascii="Garamond" w:hAnsi="Garamond"/>
        </w:rPr>
        <w:br w:type="page"/>
      </w:r>
    </w:p>
    <w:p w14:paraId="290B8D92" w14:textId="78C58C6C" w:rsidR="00F00586" w:rsidRPr="00990078" w:rsidRDefault="00AD7489" w:rsidP="00F04DDE">
      <w:pPr>
        <w:pStyle w:val="Heading1"/>
        <w:jc w:val="center"/>
        <w:rPr>
          <w:rFonts w:ascii="Garamond" w:hAnsi="Garamond" w:cs="Times New Roman"/>
          <w:b/>
          <w:bCs/>
          <w:color w:val="auto"/>
          <w:sz w:val="24"/>
          <w:szCs w:val="24"/>
        </w:rPr>
      </w:pPr>
      <w:bookmarkStart w:id="49" w:name="_Toc228175335"/>
      <w:r w:rsidRPr="00990078">
        <w:rPr>
          <w:rFonts w:ascii="Garamond" w:hAnsi="Garamond" w:cs="Times New Roman"/>
          <w:b/>
          <w:bCs/>
          <w:color w:val="auto"/>
          <w:sz w:val="24"/>
          <w:szCs w:val="24"/>
        </w:rPr>
        <w:lastRenderedPageBreak/>
        <w:t>Appendix D</w:t>
      </w:r>
      <w:bookmarkEnd w:id="49"/>
    </w:p>
    <w:p w14:paraId="5D3DC970" w14:textId="2665BCCF" w:rsidR="00F00586" w:rsidRPr="00990078" w:rsidRDefault="00AD7489" w:rsidP="00F00586">
      <w:pPr>
        <w:jc w:val="center"/>
        <w:rPr>
          <w:rFonts w:ascii="Garamond" w:hAnsi="Garamond" w:cs="Times New Roman"/>
          <w:b/>
          <w:bCs/>
        </w:rPr>
      </w:pPr>
      <w:r w:rsidRPr="00990078">
        <w:rPr>
          <w:rFonts w:ascii="Garamond" w:hAnsi="Garamond" w:cs="Times New Roman"/>
          <w:b/>
          <w:bCs/>
        </w:rPr>
        <w:t>Materials Related to the EBI</w:t>
      </w:r>
    </w:p>
    <w:p w14:paraId="10749105" w14:textId="7D345F6D" w:rsidR="00AD7489" w:rsidRPr="00990078" w:rsidRDefault="00AD7489" w:rsidP="00F00586">
      <w:pPr>
        <w:jc w:val="center"/>
        <w:rPr>
          <w:rFonts w:ascii="Garamond" w:hAnsi="Garamond" w:cs="Times New Roman"/>
          <w:color w:val="156082" w:themeColor="accent1"/>
        </w:rPr>
      </w:pPr>
      <w:r w:rsidRPr="00990078">
        <w:rPr>
          <w:rFonts w:ascii="Garamond" w:hAnsi="Garamond" w:cs="Times New Roman"/>
          <w:color w:val="156082" w:themeColor="accent1"/>
        </w:rPr>
        <w:t>Harsha Behavioral Center</w:t>
      </w:r>
    </w:p>
    <w:p w14:paraId="4666E3D7" w14:textId="2F21CF93" w:rsidR="00AD7489" w:rsidRPr="00990078" w:rsidRDefault="00AD7489" w:rsidP="00F00586">
      <w:pPr>
        <w:jc w:val="center"/>
        <w:rPr>
          <w:rFonts w:ascii="Garamond" w:hAnsi="Garamond" w:cs="Times New Roman"/>
          <w:color w:val="156082" w:themeColor="accent1"/>
        </w:rPr>
      </w:pPr>
      <w:r w:rsidRPr="00990078">
        <w:rPr>
          <w:rFonts w:ascii="Garamond" w:hAnsi="Garamond" w:cs="Times New Roman"/>
          <w:color w:val="156082" w:themeColor="accent1"/>
        </w:rPr>
        <w:t>ABA Medicaid Documentation Training Handout</w:t>
      </w:r>
    </w:p>
    <w:p w14:paraId="743F8E30"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What Is Changing?</w:t>
      </w:r>
    </w:p>
    <w:p w14:paraId="453EB488" w14:textId="77777777" w:rsidR="00AD7489" w:rsidRPr="00990078" w:rsidRDefault="00AD7489" w:rsidP="00AD7489">
      <w:pPr>
        <w:spacing w:after="0"/>
        <w:rPr>
          <w:rFonts w:ascii="Garamond" w:hAnsi="Garamond" w:cs="Times New Roman"/>
        </w:rPr>
      </w:pPr>
      <w:r w:rsidRPr="00990078">
        <w:rPr>
          <w:rFonts w:ascii="Garamond" w:hAnsi="Garamond" w:cs="Times New Roman"/>
        </w:rPr>
        <w:t>To improve documentation accuracy and billing compliance, Harsha Behavioral Center is implementing a standardized documentation review process for ABA services.</w:t>
      </w:r>
    </w:p>
    <w:p w14:paraId="11A0B13B"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Staff will now be expected to:</w:t>
      </w:r>
    </w:p>
    <w:p w14:paraId="5CBBE685" w14:textId="77777777" w:rsidR="00AD7489" w:rsidRPr="00990078" w:rsidRDefault="00AD7489" w:rsidP="00AD7489">
      <w:pPr>
        <w:numPr>
          <w:ilvl w:val="0"/>
          <w:numId w:val="2"/>
        </w:numPr>
        <w:spacing w:after="0"/>
        <w:rPr>
          <w:rFonts w:ascii="Garamond" w:hAnsi="Garamond" w:cs="Times New Roman"/>
        </w:rPr>
      </w:pPr>
      <w:r w:rsidRPr="00990078">
        <w:rPr>
          <w:rFonts w:ascii="Garamond" w:hAnsi="Garamond" w:cs="Times New Roman"/>
        </w:rPr>
        <w:t xml:space="preserve">Use the approved session note template </w:t>
      </w:r>
    </w:p>
    <w:p w14:paraId="2F875E19" w14:textId="77777777" w:rsidR="00AD7489" w:rsidRPr="00990078" w:rsidRDefault="00AD7489" w:rsidP="00AD7489">
      <w:pPr>
        <w:numPr>
          <w:ilvl w:val="0"/>
          <w:numId w:val="2"/>
        </w:numPr>
        <w:spacing w:after="0"/>
        <w:rPr>
          <w:rFonts w:ascii="Garamond" w:hAnsi="Garamond" w:cs="Times New Roman"/>
        </w:rPr>
      </w:pPr>
      <w:r w:rsidRPr="00990078">
        <w:rPr>
          <w:rFonts w:ascii="Garamond" w:hAnsi="Garamond" w:cs="Times New Roman"/>
        </w:rPr>
        <w:t xml:space="preserve">Review notes using the Medicaid Documentation Self-Check </w:t>
      </w:r>
    </w:p>
    <w:p w14:paraId="7731C07E" w14:textId="77777777" w:rsidR="00AD7489" w:rsidRPr="00990078" w:rsidRDefault="00AD7489" w:rsidP="00AD7489">
      <w:pPr>
        <w:numPr>
          <w:ilvl w:val="0"/>
          <w:numId w:val="2"/>
        </w:numPr>
        <w:spacing w:after="0"/>
        <w:rPr>
          <w:rFonts w:ascii="Garamond" w:hAnsi="Garamond" w:cs="Times New Roman"/>
        </w:rPr>
      </w:pPr>
      <w:r w:rsidRPr="00990078">
        <w:rPr>
          <w:rFonts w:ascii="Garamond" w:hAnsi="Garamond" w:cs="Times New Roman"/>
        </w:rPr>
        <w:t xml:space="preserve">Ensure documentation supports the CPT code billed </w:t>
      </w:r>
    </w:p>
    <w:p w14:paraId="4AB292B1" w14:textId="77777777" w:rsidR="00AD7489" w:rsidRPr="00990078" w:rsidRDefault="00AD7489" w:rsidP="00AD7489">
      <w:pPr>
        <w:numPr>
          <w:ilvl w:val="0"/>
          <w:numId w:val="2"/>
        </w:numPr>
        <w:spacing w:after="0"/>
        <w:rPr>
          <w:rFonts w:ascii="Garamond" w:hAnsi="Garamond" w:cs="Times New Roman"/>
        </w:rPr>
      </w:pPr>
      <w:r w:rsidRPr="00990078">
        <w:rPr>
          <w:rFonts w:ascii="Garamond" w:hAnsi="Garamond" w:cs="Times New Roman"/>
        </w:rPr>
        <w:t xml:space="preserve">Complete all required note fields before finalizing </w:t>
      </w:r>
    </w:p>
    <w:p w14:paraId="3FB25FF3" w14:textId="77777777" w:rsidR="00AD7489" w:rsidRPr="00990078" w:rsidRDefault="00AD7489" w:rsidP="00AD7489">
      <w:pPr>
        <w:numPr>
          <w:ilvl w:val="0"/>
          <w:numId w:val="2"/>
        </w:numPr>
        <w:spacing w:after="0"/>
        <w:rPr>
          <w:rFonts w:ascii="Garamond" w:hAnsi="Garamond" w:cs="Times New Roman"/>
        </w:rPr>
      </w:pPr>
      <w:r w:rsidRPr="00990078">
        <w:rPr>
          <w:rFonts w:ascii="Garamond" w:hAnsi="Garamond" w:cs="Times New Roman"/>
        </w:rPr>
        <w:t xml:space="preserve">Finalize notes within the expected documentation timeline </w:t>
      </w:r>
    </w:p>
    <w:p w14:paraId="3917CA57" w14:textId="77777777" w:rsidR="00AD7489" w:rsidRPr="00990078" w:rsidRDefault="00AD7489" w:rsidP="00AD7489">
      <w:pPr>
        <w:spacing w:after="0"/>
        <w:rPr>
          <w:rFonts w:ascii="Garamond" w:hAnsi="Garamond" w:cs="Times New Roman"/>
        </w:rPr>
      </w:pPr>
    </w:p>
    <w:p w14:paraId="60BA3602"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Updated Workflow</w:t>
      </w:r>
    </w:p>
    <w:p w14:paraId="62B6D2BA"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Step 1: Complete the Session Note</w:t>
      </w:r>
    </w:p>
    <w:p w14:paraId="1ABF07E8" w14:textId="77777777" w:rsidR="00AD7489" w:rsidRPr="00990078" w:rsidRDefault="00AD7489" w:rsidP="00AD7489">
      <w:pPr>
        <w:spacing w:after="0"/>
        <w:rPr>
          <w:rFonts w:ascii="Garamond" w:hAnsi="Garamond" w:cs="Times New Roman"/>
        </w:rPr>
      </w:pPr>
      <w:r w:rsidRPr="00990078">
        <w:rPr>
          <w:rFonts w:ascii="Garamond" w:hAnsi="Garamond" w:cs="Times New Roman"/>
        </w:rPr>
        <w:t xml:space="preserve">After the session, complete your note in </w:t>
      </w:r>
      <w:proofErr w:type="spellStart"/>
      <w:r w:rsidRPr="00990078">
        <w:rPr>
          <w:rFonts w:ascii="Garamond" w:hAnsi="Garamond" w:cs="Times New Roman"/>
        </w:rPr>
        <w:t>CentralReach</w:t>
      </w:r>
      <w:proofErr w:type="spellEnd"/>
      <w:r w:rsidRPr="00990078">
        <w:rPr>
          <w:rFonts w:ascii="Garamond" w:hAnsi="Garamond" w:cs="Times New Roman"/>
        </w:rPr>
        <w:t xml:space="preserve"> using the approved documentation template.</w:t>
      </w:r>
    </w:p>
    <w:p w14:paraId="2D9F1D0F"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Step 2: Verify Required Elements</w:t>
      </w:r>
    </w:p>
    <w:p w14:paraId="4C2A90C1" w14:textId="77777777" w:rsidR="00AD7489" w:rsidRPr="00990078" w:rsidRDefault="00AD7489" w:rsidP="00AD7489">
      <w:pPr>
        <w:spacing w:after="0"/>
        <w:rPr>
          <w:rFonts w:ascii="Garamond" w:hAnsi="Garamond" w:cs="Times New Roman"/>
        </w:rPr>
      </w:pPr>
      <w:r w:rsidRPr="00990078">
        <w:rPr>
          <w:rFonts w:ascii="Garamond" w:hAnsi="Garamond" w:cs="Times New Roman"/>
        </w:rPr>
        <w:t>Before finalizing, confirm that your note includes:</w:t>
      </w:r>
    </w:p>
    <w:p w14:paraId="180020D2" w14:textId="77777777" w:rsidR="00AD7489" w:rsidRPr="00990078" w:rsidRDefault="00AD7489" w:rsidP="00AD7489">
      <w:pPr>
        <w:numPr>
          <w:ilvl w:val="0"/>
          <w:numId w:val="3"/>
        </w:numPr>
        <w:spacing w:after="0"/>
        <w:rPr>
          <w:rFonts w:ascii="Garamond" w:hAnsi="Garamond" w:cs="Times New Roman"/>
        </w:rPr>
      </w:pPr>
      <w:r w:rsidRPr="00990078">
        <w:rPr>
          <w:rFonts w:ascii="Garamond" w:hAnsi="Garamond" w:cs="Times New Roman"/>
        </w:rPr>
        <w:t xml:space="preserve">Correct date and service times </w:t>
      </w:r>
    </w:p>
    <w:p w14:paraId="57F7D08F" w14:textId="77777777" w:rsidR="00AD7489" w:rsidRPr="00990078" w:rsidRDefault="00AD7489" w:rsidP="00AD7489">
      <w:pPr>
        <w:numPr>
          <w:ilvl w:val="0"/>
          <w:numId w:val="3"/>
        </w:numPr>
        <w:spacing w:after="0"/>
        <w:rPr>
          <w:rFonts w:ascii="Garamond" w:hAnsi="Garamond" w:cs="Times New Roman"/>
        </w:rPr>
      </w:pPr>
      <w:r w:rsidRPr="00990078">
        <w:rPr>
          <w:rFonts w:ascii="Garamond" w:hAnsi="Garamond" w:cs="Times New Roman"/>
        </w:rPr>
        <w:t xml:space="preserve">Service location </w:t>
      </w:r>
    </w:p>
    <w:p w14:paraId="5908E799" w14:textId="77777777" w:rsidR="00AD7489" w:rsidRPr="00990078" w:rsidRDefault="00AD7489" w:rsidP="00AD7489">
      <w:pPr>
        <w:numPr>
          <w:ilvl w:val="0"/>
          <w:numId w:val="3"/>
        </w:numPr>
        <w:spacing w:after="0"/>
        <w:rPr>
          <w:rFonts w:ascii="Garamond" w:hAnsi="Garamond" w:cs="Times New Roman"/>
        </w:rPr>
      </w:pPr>
      <w:r w:rsidRPr="00990078">
        <w:rPr>
          <w:rFonts w:ascii="Garamond" w:hAnsi="Garamond" w:cs="Times New Roman"/>
        </w:rPr>
        <w:t xml:space="preserve">Goals or targets addressed </w:t>
      </w:r>
    </w:p>
    <w:p w14:paraId="45A9B6C4" w14:textId="77777777" w:rsidR="00AD7489" w:rsidRPr="00990078" w:rsidRDefault="00AD7489" w:rsidP="00AD7489">
      <w:pPr>
        <w:numPr>
          <w:ilvl w:val="0"/>
          <w:numId w:val="3"/>
        </w:numPr>
        <w:spacing w:after="0"/>
        <w:rPr>
          <w:rFonts w:ascii="Garamond" w:hAnsi="Garamond" w:cs="Times New Roman"/>
        </w:rPr>
      </w:pPr>
      <w:r w:rsidRPr="00990078">
        <w:rPr>
          <w:rFonts w:ascii="Garamond" w:hAnsi="Garamond" w:cs="Times New Roman"/>
        </w:rPr>
        <w:t xml:space="preserve">Interventions used </w:t>
      </w:r>
    </w:p>
    <w:p w14:paraId="1AD56368" w14:textId="77777777" w:rsidR="00AD7489" w:rsidRPr="00990078" w:rsidRDefault="00AD7489" w:rsidP="00AD7489">
      <w:pPr>
        <w:numPr>
          <w:ilvl w:val="0"/>
          <w:numId w:val="3"/>
        </w:numPr>
        <w:spacing w:after="0"/>
        <w:rPr>
          <w:rFonts w:ascii="Garamond" w:hAnsi="Garamond" w:cs="Times New Roman"/>
        </w:rPr>
      </w:pPr>
      <w:r w:rsidRPr="00990078">
        <w:rPr>
          <w:rFonts w:ascii="Garamond" w:hAnsi="Garamond" w:cs="Times New Roman"/>
        </w:rPr>
        <w:t xml:space="preserve">Client response / progress </w:t>
      </w:r>
    </w:p>
    <w:p w14:paraId="07535D55" w14:textId="77777777" w:rsidR="00AD7489" w:rsidRPr="00990078" w:rsidRDefault="00AD7489" w:rsidP="00AD7489">
      <w:pPr>
        <w:numPr>
          <w:ilvl w:val="0"/>
          <w:numId w:val="3"/>
        </w:numPr>
        <w:spacing w:after="0"/>
        <w:rPr>
          <w:rFonts w:ascii="Garamond" w:hAnsi="Garamond" w:cs="Times New Roman"/>
        </w:rPr>
      </w:pPr>
      <w:r w:rsidRPr="00990078">
        <w:rPr>
          <w:rFonts w:ascii="Garamond" w:hAnsi="Garamond" w:cs="Times New Roman"/>
        </w:rPr>
        <w:t xml:space="preserve">Objective or measurable data </w:t>
      </w:r>
    </w:p>
    <w:p w14:paraId="24304379" w14:textId="77777777" w:rsidR="00AD7489" w:rsidRPr="00990078" w:rsidRDefault="00AD7489" w:rsidP="00AD7489">
      <w:pPr>
        <w:numPr>
          <w:ilvl w:val="0"/>
          <w:numId w:val="3"/>
        </w:numPr>
        <w:spacing w:after="0"/>
        <w:rPr>
          <w:rFonts w:ascii="Garamond" w:hAnsi="Garamond" w:cs="Times New Roman"/>
        </w:rPr>
      </w:pPr>
      <w:r w:rsidRPr="00990078">
        <w:rPr>
          <w:rFonts w:ascii="Garamond" w:hAnsi="Garamond" w:cs="Times New Roman"/>
        </w:rPr>
        <w:t xml:space="preserve">Any required caregiver, supervision, or protocol modification details </w:t>
      </w:r>
    </w:p>
    <w:p w14:paraId="6A993845"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Step 3: Use the Self-Check</w:t>
      </w:r>
    </w:p>
    <w:p w14:paraId="13109B91" w14:textId="77777777" w:rsidR="00AD7489" w:rsidRPr="00990078" w:rsidRDefault="00AD7489" w:rsidP="00AD7489">
      <w:pPr>
        <w:spacing w:after="0"/>
        <w:rPr>
          <w:rFonts w:ascii="Garamond" w:hAnsi="Garamond" w:cs="Times New Roman"/>
        </w:rPr>
      </w:pPr>
      <w:r w:rsidRPr="00990078">
        <w:rPr>
          <w:rFonts w:ascii="Garamond" w:hAnsi="Garamond" w:cs="Times New Roman"/>
        </w:rPr>
        <w:t>Review your documentation using the Medicaid Documentation Self-Check before signing.</w:t>
      </w:r>
    </w:p>
    <w:p w14:paraId="7F2CBDBF"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Step 4: Finalize and Submit</w:t>
      </w:r>
    </w:p>
    <w:p w14:paraId="727851CD" w14:textId="77777777" w:rsidR="00AD7489" w:rsidRPr="00990078" w:rsidRDefault="00AD7489" w:rsidP="00AD7489">
      <w:pPr>
        <w:spacing w:after="0"/>
        <w:rPr>
          <w:rFonts w:ascii="Garamond" w:hAnsi="Garamond" w:cs="Times New Roman"/>
        </w:rPr>
      </w:pPr>
      <w:r w:rsidRPr="00990078">
        <w:rPr>
          <w:rFonts w:ascii="Garamond" w:hAnsi="Garamond" w:cs="Times New Roman"/>
        </w:rPr>
        <w:t>Once all required elements are complete, finalize the note according to documentation timelines.</w:t>
      </w:r>
    </w:p>
    <w:p w14:paraId="0CE72AC6" w14:textId="77777777" w:rsidR="00AD7489" w:rsidRPr="00990078" w:rsidRDefault="00AD7489" w:rsidP="00AD7489">
      <w:pPr>
        <w:spacing w:after="0"/>
        <w:rPr>
          <w:rFonts w:ascii="Garamond" w:hAnsi="Garamond" w:cs="Times New Roman"/>
        </w:rPr>
      </w:pPr>
    </w:p>
    <w:p w14:paraId="1B60A6CE"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Billing Verification Reminders</w:t>
      </w:r>
    </w:p>
    <w:p w14:paraId="65EBDB24" w14:textId="77777777" w:rsidR="00AD7489" w:rsidRPr="00990078" w:rsidRDefault="00AD7489" w:rsidP="00AD7489">
      <w:pPr>
        <w:spacing w:after="0"/>
        <w:rPr>
          <w:rFonts w:ascii="Garamond" w:hAnsi="Garamond" w:cs="Times New Roman"/>
        </w:rPr>
      </w:pPr>
      <w:r w:rsidRPr="00990078">
        <w:rPr>
          <w:rFonts w:ascii="Garamond" w:hAnsi="Garamond" w:cs="Times New Roman"/>
        </w:rPr>
        <w:t>Before a claim can be supported, documentation must match:</w:t>
      </w:r>
    </w:p>
    <w:p w14:paraId="2442D7A9" w14:textId="77777777" w:rsidR="00AD7489" w:rsidRPr="00990078" w:rsidRDefault="00AD7489" w:rsidP="00AD7489">
      <w:pPr>
        <w:spacing w:after="0"/>
        <w:rPr>
          <w:rFonts w:ascii="Garamond" w:hAnsi="Garamond" w:cs="Times New Roman"/>
        </w:rPr>
      </w:pPr>
      <w:r w:rsidRPr="00990078">
        <w:rPr>
          <w:rFonts w:ascii="Segoe UI Symbol" w:hAnsi="Segoe UI Symbol" w:cs="Segoe UI Symbol"/>
        </w:rPr>
        <w:t>✔</w:t>
      </w:r>
      <w:r w:rsidRPr="00990078">
        <w:rPr>
          <w:rFonts w:ascii="Garamond" w:hAnsi="Garamond" w:cs="Times New Roman"/>
        </w:rPr>
        <w:t xml:space="preserve"> </w:t>
      </w:r>
      <w:r w:rsidRPr="00990078">
        <w:rPr>
          <w:rFonts w:ascii="Garamond" w:hAnsi="Garamond" w:cs="Times New Roman"/>
          <w:b/>
          <w:bCs/>
        </w:rPr>
        <w:t>The service actually provided</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w:t>
      </w:r>
      <w:r w:rsidRPr="00990078">
        <w:rPr>
          <w:rFonts w:ascii="Garamond" w:hAnsi="Garamond" w:cs="Times New Roman"/>
          <w:b/>
          <w:bCs/>
        </w:rPr>
        <w:t>The CPT code billed</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w:t>
      </w:r>
      <w:r w:rsidRPr="00990078">
        <w:rPr>
          <w:rFonts w:ascii="Garamond" w:hAnsi="Garamond" w:cs="Times New Roman"/>
          <w:b/>
          <w:bCs/>
        </w:rPr>
        <w:t>The provider role / credentials</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w:t>
      </w:r>
      <w:r w:rsidRPr="00990078">
        <w:rPr>
          <w:rFonts w:ascii="Garamond" w:hAnsi="Garamond" w:cs="Times New Roman"/>
          <w:b/>
          <w:bCs/>
        </w:rPr>
        <w:t>The authorized service</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w:t>
      </w:r>
      <w:r w:rsidRPr="00990078">
        <w:rPr>
          <w:rFonts w:ascii="Garamond" w:hAnsi="Garamond" w:cs="Times New Roman"/>
          <w:b/>
          <w:bCs/>
        </w:rPr>
        <w:t>The time documented</w:t>
      </w:r>
    </w:p>
    <w:p w14:paraId="3358313B" w14:textId="77777777" w:rsidR="00AD7489" w:rsidRPr="00990078" w:rsidRDefault="00AD7489" w:rsidP="00AD7489">
      <w:pPr>
        <w:spacing w:after="0"/>
        <w:rPr>
          <w:rFonts w:ascii="Garamond" w:hAnsi="Garamond" w:cs="Times New Roman"/>
        </w:rPr>
      </w:pPr>
      <w:r w:rsidRPr="00990078">
        <w:rPr>
          <w:rFonts w:ascii="Garamond" w:hAnsi="Garamond" w:cs="Times New Roman"/>
        </w:rPr>
        <w:lastRenderedPageBreak/>
        <w:t>If documentation does not match billing, the claim may be denied.</w:t>
      </w:r>
    </w:p>
    <w:p w14:paraId="59657F2C" w14:textId="77777777" w:rsidR="00AD7489" w:rsidRPr="00990078" w:rsidRDefault="00AD7489" w:rsidP="00AD7489">
      <w:pPr>
        <w:spacing w:after="0"/>
        <w:rPr>
          <w:rFonts w:ascii="Garamond" w:hAnsi="Garamond" w:cs="Times New Roman"/>
        </w:rPr>
      </w:pPr>
    </w:p>
    <w:p w14:paraId="25CC938D"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Examples of Correct Documentation Practices</w:t>
      </w:r>
    </w:p>
    <w:p w14:paraId="34455686"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Good Documentation Includes:</w:t>
      </w:r>
    </w:p>
    <w:p w14:paraId="63152566" w14:textId="77777777" w:rsidR="00AD7489" w:rsidRPr="00990078" w:rsidRDefault="00AD7489" w:rsidP="00AD7489">
      <w:pPr>
        <w:numPr>
          <w:ilvl w:val="0"/>
          <w:numId w:val="4"/>
        </w:numPr>
        <w:spacing w:after="0"/>
        <w:rPr>
          <w:rFonts w:ascii="Garamond" w:hAnsi="Garamond" w:cs="Times New Roman"/>
        </w:rPr>
      </w:pPr>
      <w:r w:rsidRPr="00990078">
        <w:rPr>
          <w:rFonts w:ascii="Garamond" w:hAnsi="Garamond" w:cs="Times New Roman"/>
        </w:rPr>
        <w:t xml:space="preserve">Clear, objective, professional language </w:t>
      </w:r>
    </w:p>
    <w:p w14:paraId="3D48A846" w14:textId="77777777" w:rsidR="00AD7489" w:rsidRPr="00990078" w:rsidRDefault="00AD7489" w:rsidP="00AD7489">
      <w:pPr>
        <w:numPr>
          <w:ilvl w:val="0"/>
          <w:numId w:val="4"/>
        </w:numPr>
        <w:spacing w:after="0"/>
        <w:rPr>
          <w:rFonts w:ascii="Garamond" w:hAnsi="Garamond" w:cs="Times New Roman"/>
        </w:rPr>
      </w:pPr>
      <w:r w:rsidRPr="00990078">
        <w:rPr>
          <w:rFonts w:ascii="Garamond" w:hAnsi="Garamond" w:cs="Times New Roman"/>
        </w:rPr>
        <w:t xml:space="preserve">Specific goals or targets addressed </w:t>
      </w:r>
    </w:p>
    <w:p w14:paraId="276C66B0" w14:textId="77777777" w:rsidR="00AD7489" w:rsidRPr="00990078" w:rsidRDefault="00AD7489" w:rsidP="00AD7489">
      <w:pPr>
        <w:numPr>
          <w:ilvl w:val="0"/>
          <w:numId w:val="4"/>
        </w:numPr>
        <w:spacing w:after="0"/>
        <w:rPr>
          <w:rFonts w:ascii="Garamond" w:hAnsi="Garamond" w:cs="Times New Roman"/>
        </w:rPr>
      </w:pPr>
      <w:r w:rsidRPr="00990078">
        <w:rPr>
          <w:rFonts w:ascii="Garamond" w:hAnsi="Garamond" w:cs="Times New Roman"/>
        </w:rPr>
        <w:t xml:space="preserve">Interventions that were actually used </w:t>
      </w:r>
    </w:p>
    <w:p w14:paraId="04AC3EF0" w14:textId="77777777" w:rsidR="00AD7489" w:rsidRPr="00990078" w:rsidRDefault="00AD7489" w:rsidP="00AD7489">
      <w:pPr>
        <w:numPr>
          <w:ilvl w:val="0"/>
          <w:numId w:val="4"/>
        </w:numPr>
        <w:spacing w:after="0"/>
        <w:rPr>
          <w:rFonts w:ascii="Garamond" w:hAnsi="Garamond" w:cs="Times New Roman"/>
        </w:rPr>
      </w:pPr>
      <w:r w:rsidRPr="00990078">
        <w:rPr>
          <w:rFonts w:ascii="Garamond" w:hAnsi="Garamond" w:cs="Times New Roman"/>
        </w:rPr>
        <w:t xml:space="preserve">Measurable data or progress </w:t>
      </w:r>
    </w:p>
    <w:p w14:paraId="5EF73E39" w14:textId="77777777" w:rsidR="00AD7489" w:rsidRPr="00990078" w:rsidRDefault="00AD7489" w:rsidP="00AD7489">
      <w:pPr>
        <w:numPr>
          <w:ilvl w:val="0"/>
          <w:numId w:val="4"/>
        </w:numPr>
        <w:spacing w:after="0"/>
        <w:rPr>
          <w:rFonts w:ascii="Garamond" w:hAnsi="Garamond" w:cs="Times New Roman"/>
        </w:rPr>
      </w:pPr>
      <w:r w:rsidRPr="00990078">
        <w:rPr>
          <w:rFonts w:ascii="Garamond" w:hAnsi="Garamond" w:cs="Times New Roman"/>
        </w:rPr>
        <w:t xml:space="preserve">Clear description of client response </w:t>
      </w:r>
    </w:p>
    <w:p w14:paraId="4E1B0405" w14:textId="77777777" w:rsidR="00AD7489" w:rsidRPr="00990078" w:rsidRDefault="00AD7489" w:rsidP="00AD7489">
      <w:pPr>
        <w:numPr>
          <w:ilvl w:val="0"/>
          <w:numId w:val="4"/>
        </w:numPr>
        <w:spacing w:after="0"/>
        <w:rPr>
          <w:rFonts w:ascii="Garamond" w:hAnsi="Garamond" w:cs="Times New Roman"/>
        </w:rPr>
      </w:pPr>
      <w:r w:rsidRPr="00990078">
        <w:rPr>
          <w:rFonts w:ascii="Garamond" w:hAnsi="Garamond" w:cs="Times New Roman"/>
        </w:rPr>
        <w:t xml:space="preserve">Accurate session times and required details </w:t>
      </w:r>
    </w:p>
    <w:p w14:paraId="7D76228F"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Example</w:t>
      </w:r>
    </w:p>
    <w:p w14:paraId="3818B39F" w14:textId="77777777" w:rsidR="00AD7489" w:rsidRPr="00990078" w:rsidRDefault="00AD7489" w:rsidP="00AD7489">
      <w:pPr>
        <w:spacing w:after="0"/>
        <w:rPr>
          <w:rFonts w:ascii="Garamond" w:hAnsi="Garamond" w:cs="Times New Roman"/>
        </w:rPr>
      </w:pPr>
      <w:r w:rsidRPr="00990078">
        <w:rPr>
          <w:rFonts w:ascii="Garamond" w:hAnsi="Garamond" w:cs="Times New Roman"/>
          <w:b/>
          <w:bCs/>
        </w:rPr>
        <w:t>Too vague:</w:t>
      </w:r>
      <w:r w:rsidRPr="00990078">
        <w:rPr>
          <w:rFonts w:ascii="Garamond" w:hAnsi="Garamond" w:cs="Times New Roman"/>
        </w:rPr>
        <w:br/>
      </w:r>
      <w:r w:rsidRPr="00990078">
        <w:rPr>
          <w:rFonts w:ascii="Garamond" w:hAnsi="Garamond" w:cs="Times New Roman"/>
          <w:i/>
          <w:iCs/>
        </w:rPr>
        <w:t>“Client worked on goals and did well during session.”</w:t>
      </w:r>
    </w:p>
    <w:p w14:paraId="26AFB55A" w14:textId="77777777" w:rsidR="00AD7489" w:rsidRPr="00990078" w:rsidRDefault="00AD7489" w:rsidP="00AD7489">
      <w:pPr>
        <w:spacing w:after="0"/>
        <w:rPr>
          <w:rFonts w:ascii="Garamond" w:hAnsi="Garamond" w:cs="Times New Roman"/>
        </w:rPr>
      </w:pPr>
      <w:r w:rsidRPr="00990078">
        <w:rPr>
          <w:rFonts w:ascii="Garamond" w:hAnsi="Garamond" w:cs="Times New Roman"/>
          <w:b/>
          <w:bCs/>
        </w:rPr>
        <w:t>Better:</w:t>
      </w:r>
      <w:r w:rsidRPr="00990078">
        <w:rPr>
          <w:rFonts w:ascii="Garamond" w:hAnsi="Garamond" w:cs="Times New Roman"/>
        </w:rPr>
        <w:br/>
      </w:r>
      <w:r w:rsidRPr="00990078">
        <w:rPr>
          <w:rFonts w:ascii="Garamond" w:hAnsi="Garamond" w:cs="Times New Roman"/>
          <w:i/>
          <w:iCs/>
        </w:rPr>
        <w:t xml:space="preserve">“Client participated in </w:t>
      </w:r>
      <w:proofErr w:type="spellStart"/>
      <w:r w:rsidRPr="00990078">
        <w:rPr>
          <w:rFonts w:ascii="Garamond" w:hAnsi="Garamond" w:cs="Times New Roman"/>
          <w:i/>
          <w:iCs/>
        </w:rPr>
        <w:t>mand</w:t>
      </w:r>
      <w:proofErr w:type="spellEnd"/>
      <w:r w:rsidRPr="00990078">
        <w:rPr>
          <w:rFonts w:ascii="Garamond" w:hAnsi="Garamond" w:cs="Times New Roman"/>
          <w:i/>
          <w:iCs/>
        </w:rPr>
        <w:t xml:space="preserve"> training and listener responding programs during a 2-hour direct therapy session. Therapist implemented least-to-most prompting and differential reinforcement. Client independently completed 8/10 </w:t>
      </w:r>
      <w:proofErr w:type="spellStart"/>
      <w:r w:rsidRPr="00990078">
        <w:rPr>
          <w:rFonts w:ascii="Garamond" w:hAnsi="Garamond" w:cs="Times New Roman"/>
          <w:i/>
          <w:iCs/>
        </w:rPr>
        <w:t>mand</w:t>
      </w:r>
      <w:proofErr w:type="spellEnd"/>
      <w:r w:rsidRPr="00990078">
        <w:rPr>
          <w:rFonts w:ascii="Garamond" w:hAnsi="Garamond" w:cs="Times New Roman"/>
          <w:i/>
          <w:iCs/>
        </w:rPr>
        <w:t xml:space="preserve"> opportunities and required verbal prompting on 2/10 trials.”</w:t>
      </w:r>
    </w:p>
    <w:p w14:paraId="3DCD0853" w14:textId="77777777" w:rsidR="00AD7489" w:rsidRPr="00990078" w:rsidRDefault="00AD7489" w:rsidP="00AD7489">
      <w:pPr>
        <w:spacing w:after="0"/>
        <w:rPr>
          <w:rFonts w:ascii="Garamond" w:hAnsi="Garamond" w:cs="Times New Roman"/>
        </w:rPr>
      </w:pPr>
    </w:p>
    <w:p w14:paraId="7DC52EB1"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Common Documentation Mistakes to Avoid</w:t>
      </w:r>
    </w:p>
    <w:p w14:paraId="109D34A4" w14:textId="77777777" w:rsidR="00AD7489" w:rsidRPr="00990078" w:rsidRDefault="00AD7489" w:rsidP="00AD7489">
      <w:pPr>
        <w:numPr>
          <w:ilvl w:val="0"/>
          <w:numId w:val="5"/>
        </w:numPr>
        <w:spacing w:after="0"/>
        <w:rPr>
          <w:rFonts w:ascii="Garamond" w:hAnsi="Garamond" w:cs="Times New Roman"/>
        </w:rPr>
      </w:pPr>
      <w:r w:rsidRPr="00990078">
        <w:rPr>
          <w:rFonts w:ascii="Garamond" w:hAnsi="Garamond" w:cs="Times New Roman"/>
        </w:rPr>
        <w:t xml:space="preserve">Missing session start/end times </w:t>
      </w:r>
    </w:p>
    <w:p w14:paraId="79F92043" w14:textId="77777777" w:rsidR="00AD7489" w:rsidRPr="00990078" w:rsidRDefault="00AD7489" w:rsidP="00AD7489">
      <w:pPr>
        <w:numPr>
          <w:ilvl w:val="0"/>
          <w:numId w:val="5"/>
        </w:numPr>
        <w:spacing w:after="0"/>
        <w:rPr>
          <w:rFonts w:ascii="Garamond" w:hAnsi="Garamond" w:cs="Times New Roman"/>
        </w:rPr>
      </w:pPr>
      <w:r w:rsidRPr="00990078">
        <w:rPr>
          <w:rFonts w:ascii="Garamond" w:hAnsi="Garamond" w:cs="Times New Roman"/>
        </w:rPr>
        <w:t xml:space="preserve">Choosing the wrong CPT code </w:t>
      </w:r>
    </w:p>
    <w:p w14:paraId="65579C61" w14:textId="77777777" w:rsidR="00AD7489" w:rsidRPr="00990078" w:rsidRDefault="00AD7489" w:rsidP="00AD7489">
      <w:pPr>
        <w:numPr>
          <w:ilvl w:val="0"/>
          <w:numId w:val="5"/>
        </w:numPr>
        <w:spacing w:after="0"/>
        <w:rPr>
          <w:rFonts w:ascii="Garamond" w:hAnsi="Garamond" w:cs="Times New Roman"/>
        </w:rPr>
      </w:pPr>
      <w:r w:rsidRPr="00990078">
        <w:rPr>
          <w:rFonts w:ascii="Garamond" w:hAnsi="Garamond" w:cs="Times New Roman"/>
        </w:rPr>
        <w:t xml:space="preserve">Leaving required fields blank </w:t>
      </w:r>
    </w:p>
    <w:p w14:paraId="6D1720C2" w14:textId="77777777" w:rsidR="00AD7489" w:rsidRPr="00990078" w:rsidRDefault="00AD7489" w:rsidP="00AD7489">
      <w:pPr>
        <w:numPr>
          <w:ilvl w:val="0"/>
          <w:numId w:val="5"/>
        </w:numPr>
        <w:spacing w:after="0"/>
        <w:rPr>
          <w:rFonts w:ascii="Garamond" w:hAnsi="Garamond" w:cs="Times New Roman"/>
        </w:rPr>
      </w:pPr>
      <w:r w:rsidRPr="00990078">
        <w:rPr>
          <w:rFonts w:ascii="Garamond" w:hAnsi="Garamond" w:cs="Times New Roman"/>
        </w:rPr>
        <w:t xml:space="preserve">Writing notes that are too vague </w:t>
      </w:r>
    </w:p>
    <w:p w14:paraId="2B50A56B" w14:textId="77777777" w:rsidR="00AD7489" w:rsidRPr="00990078" w:rsidRDefault="00AD7489" w:rsidP="00AD7489">
      <w:pPr>
        <w:numPr>
          <w:ilvl w:val="0"/>
          <w:numId w:val="5"/>
        </w:numPr>
        <w:spacing w:after="0"/>
        <w:rPr>
          <w:rFonts w:ascii="Garamond" w:hAnsi="Garamond" w:cs="Times New Roman"/>
        </w:rPr>
      </w:pPr>
      <w:r w:rsidRPr="00990078">
        <w:rPr>
          <w:rFonts w:ascii="Garamond" w:hAnsi="Garamond" w:cs="Times New Roman"/>
        </w:rPr>
        <w:t xml:space="preserve">Finalizing notes without reviewing for errors </w:t>
      </w:r>
    </w:p>
    <w:p w14:paraId="4FE6C5EC" w14:textId="77777777" w:rsidR="00AD7489" w:rsidRPr="00990078" w:rsidRDefault="00AD7489" w:rsidP="00AD7489">
      <w:pPr>
        <w:spacing w:after="0"/>
        <w:rPr>
          <w:rFonts w:ascii="Garamond" w:hAnsi="Garamond" w:cs="Times New Roman"/>
        </w:rPr>
      </w:pPr>
    </w:p>
    <w:p w14:paraId="6343D695"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If You Are Unsure</w:t>
      </w:r>
    </w:p>
    <w:p w14:paraId="3C8C08E4" w14:textId="77777777" w:rsidR="00AD7489" w:rsidRPr="00990078" w:rsidRDefault="00AD7489" w:rsidP="00AD7489">
      <w:pPr>
        <w:spacing w:after="0"/>
        <w:rPr>
          <w:rFonts w:ascii="Garamond" w:hAnsi="Garamond" w:cs="Times New Roman"/>
        </w:rPr>
      </w:pPr>
      <w:r w:rsidRPr="00990078">
        <w:rPr>
          <w:rFonts w:ascii="Garamond" w:hAnsi="Garamond" w:cs="Times New Roman"/>
        </w:rPr>
        <w:t>Before finalizing your note:</w:t>
      </w:r>
    </w:p>
    <w:p w14:paraId="633DE8D8" w14:textId="77777777" w:rsidR="00AD7489" w:rsidRPr="00990078" w:rsidRDefault="00AD7489" w:rsidP="00AD7489">
      <w:pPr>
        <w:numPr>
          <w:ilvl w:val="0"/>
          <w:numId w:val="6"/>
        </w:numPr>
        <w:spacing w:after="0"/>
        <w:rPr>
          <w:rFonts w:ascii="Garamond" w:hAnsi="Garamond" w:cs="Times New Roman"/>
        </w:rPr>
      </w:pPr>
      <w:r w:rsidRPr="00990078">
        <w:rPr>
          <w:rFonts w:ascii="Garamond" w:hAnsi="Garamond" w:cs="Times New Roman"/>
        </w:rPr>
        <w:t xml:space="preserve">Review the Self-Check </w:t>
      </w:r>
    </w:p>
    <w:p w14:paraId="591A9463" w14:textId="77777777" w:rsidR="00AD7489" w:rsidRPr="00990078" w:rsidRDefault="00AD7489" w:rsidP="00AD7489">
      <w:pPr>
        <w:numPr>
          <w:ilvl w:val="0"/>
          <w:numId w:val="6"/>
        </w:numPr>
        <w:spacing w:after="0"/>
        <w:rPr>
          <w:rFonts w:ascii="Garamond" w:hAnsi="Garamond" w:cs="Times New Roman"/>
        </w:rPr>
      </w:pPr>
      <w:r w:rsidRPr="00990078">
        <w:rPr>
          <w:rFonts w:ascii="Garamond" w:hAnsi="Garamond" w:cs="Times New Roman"/>
        </w:rPr>
        <w:t xml:space="preserve">Use the Top 5 Reasons Notes Get Denied guide </w:t>
      </w:r>
    </w:p>
    <w:p w14:paraId="6BBB85B6" w14:textId="77777777" w:rsidR="00AD7489" w:rsidRPr="00990078" w:rsidRDefault="00AD7489" w:rsidP="00AD7489">
      <w:pPr>
        <w:numPr>
          <w:ilvl w:val="0"/>
          <w:numId w:val="6"/>
        </w:numPr>
        <w:spacing w:after="0"/>
        <w:rPr>
          <w:rFonts w:ascii="Garamond" w:hAnsi="Garamond" w:cs="Times New Roman"/>
        </w:rPr>
      </w:pPr>
      <w:r w:rsidRPr="00990078">
        <w:rPr>
          <w:rFonts w:ascii="Garamond" w:hAnsi="Garamond" w:cs="Times New Roman"/>
        </w:rPr>
        <w:t xml:space="preserve">Ask your supervisor for clarification </w:t>
      </w:r>
    </w:p>
    <w:p w14:paraId="1405789A" w14:textId="77777777" w:rsidR="00AD7489" w:rsidRPr="00990078" w:rsidRDefault="00AD7489" w:rsidP="00AD7489">
      <w:pPr>
        <w:spacing w:after="0"/>
        <w:rPr>
          <w:rFonts w:ascii="Garamond" w:hAnsi="Garamond" w:cs="Times New Roman"/>
        </w:rPr>
      </w:pPr>
    </w:p>
    <w:p w14:paraId="30F06B90" w14:textId="77777777" w:rsidR="00AD7489" w:rsidRPr="00990078" w:rsidRDefault="00AD7489" w:rsidP="00AD7489">
      <w:pPr>
        <w:spacing w:after="0"/>
        <w:jc w:val="center"/>
        <w:rPr>
          <w:rFonts w:ascii="Garamond" w:hAnsi="Garamond" w:cs="Times New Roman"/>
          <w:b/>
          <w:bCs/>
        </w:rPr>
      </w:pPr>
      <w:r w:rsidRPr="00990078">
        <w:rPr>
          <w:rFonts w:ascii="Garamond" w:hAnsi="Garamond" w:cs="Times New Roman"/>
          <w:b/>
          <w:bCs/>
        </w:rPr>
        <w:t>Reminder</w:t>
      </w:r>
    </w:p>
    <w:p w14:paraId="125B2EF5" w14:textId="77777777" w:rsidR="00AD7489" w:rsidRPr="00990078" w:rsidRDefault="00AD7489" w:rsidP="00AD7489">
      <w:pPr>
        <w:spacing w:after="0"/>
        <w:jc w:val="center"/>
        <w:rPr>
          <w:rFonts w:ascii="Garamond" w:hAnsi="Garamond" w:cs="Times New Roman"/>
          <w:b/>
          <w:bCs/>
          <w:i/>
          <w:iCs/>
        </w:rPr>
      </w:pPr>
      <w:r w:rsidRPr="00990078">
        <w:rPr>
          <w:rFonts w:ascii="Garamond" w:hAnsi="Garamond" w:cs="Times New Roman"/>
          <w:b/>
          <w:bCs/>
          <w:i/>
          <w:iCs/>
        </w:rPr>
        <w:t>If an outside reviewer cannot clearly understand what service was provided, the documentation may not support billing.</w:t>
      </w:r>
    </w:p>
    <w:p w14:paraId="4F2536F5" w14:textId="77777777" w:rsidR="00AD7489" w:rsidRPr="00990078" w:rsidRDefault="00AD7489" w:rsidP="00AD7489">
      <w:pPr>
        <w:spacing w:after="0"/>
        <w:rPr>
          <w:rFonts w:ascii="Garamond" w:hAnsi="Garamond"/>
        </w:rPr>
      </w:pPr>
    </w:p>
    <w:p w14:paraId="160AC822" w14:textId="77777777" w:rsidR="00F00586" w:rsidRPr="00990078" w:rsidRDefault="00F00586">
      <w:pPr>
        <w:rPr>
          <w:rFonts w:ascii="Garamond" w:hAnsi="Garamond" w:cs="Times New Roman"/>
          <w:b/>
          <w:bCs/>
          <w:color w:val="156082" w:themeColor="accent1"/>
        </w:rPr>
      </w:pPr>
      <w:r w:rsidRPr="00990078">
        <w:rPr>
          <w:rFonts w:ascii="Garamond" w:hAnsi="Garamond" w:cs="Times New Roman"/>
          <w:b/>
          <w:bCs/>
          <w:color w:val="156082" w:themeColor="accent1"/>
        </w:rPr>
        <w:br w:type="page"/>
      </w:r>
    </w:p>
    <w:p w14:paraId="0BC74EA6" w14:textId="315B48F6" w:rsidR="00AD7489" w:rsidRPr="00990078" w:rsidRDefault="00AD7489" w:rsidP="00F00586">
      <w:pPr>
        <w:jc w:val="center"/>
        <w:rPr>
          <w:rFonts w:ascii="Garamond" w:hAnsi="Garamond" w:cs="Times New Roman"/>
          <w:b/>
          <w:bCs/>
          <w:color w:val="156082" w:themeColor="accent1"/>
        </w:rPr>
      </w:pPr>
      <w:r w:rsidRPr="00990078">
        <w:rPr>
          <w:rFonts w:ascii="Garamond" w:hAnsi="Garamond" w:cs="Times New Roman"/>
          <w:b/>
          <w:bCs/>
          <w:color w:val="156082" w:themeColor="accent1"/>
        </w:rPr>
        <w:lastRenderedPageBreak/>
        <w:t>Harsha Behavioral Center</w:t>
      </w:r>
    </w:p>
    <w:p w14:paraId="7820E1AF" w14:textId="77777777" w:rsidR="00AD7489" w:rsidRPr="00990078" w:rsidRDefault="00AD7489" w:rsidP="00F00586">
      <w:pPr>
        <w:jc w:val="center"/>
        <w:rPr>
          <w:rFonts w:ascii="Garamond" w:hAnsi="Garamond" w:cs="Times New Roman"/>
          <w:b/>
          <w:bCs/>
          <w:color w:val="156082" w:themeColor="accent1"/>
        </w:rPr>
      </w:pPr>
      <w:r w:rsidRPr="00990078">
        <w:rPr>
          <w:rFonts w:ascii="Garamond" w:hAnsi="Garamond" w:cs="Times New Roman"/>
          <w:b/>
          <w:bCs/>
          <w:color w:val="156082" w:themeColor="accent1"/>
        </w:rPr>
        <w:t>Top 5 Reasons Medicaid Notes Get Denied</w:t>
      </w:r>
    </w:p>
    <w:p w14:paraId="207EFD4C" w14:textId="77777777" w:rsidR="00AD7489" w:rsidRPr="00990078" w:rsidRDefault="00AD7489" w:rsidP="00AD7489">
      <w:pPr>
        <w:jc w:val="center"/>
        <w:rPr>
          <w:rFonts w:ascii="Garamond" w:hAnsi="Garamond" w:cs="Times New Roman"/>
        </w:rPr>
      </w:pPr>
      <w:r w:rsidRPr="00990078">
        <w:rPr>
          <w:rFonts w:ascii="Garamond" w:hAnsi="Garamond" w:cs="Times New Roman"/>
        </w:rPr>
        <w:br/>
        <w:t>Even strong clinical work can lead to denied claims if documentation is incomplete, inconsistent, or does not match what was billed. Reviewing these common errors can help reduce denials and improve compliance.</w:t>
      </w:r>
    </w:p>
    <w:p w14:paraId="42C816DD" w14:textId="77777777" w:rsidR="00AD7489" w:rsidRPr="00990078" w:rsidRDefault="00AD7489" w:rsidP="00AD7489">
      <w:pPr>
        <w:spacing w:after="0"/>
        <w:rPr>
          <w:rFonts w:ascii="Garamond" w:hAnsi="Garamond" w:cs="Times New Roman"/>
        </w:rPr>
      </w:pPr>
      <w:r w:rsidRPr="00990078">
        <w:rPr>
          <w:rFonts w:ascii="Garamond" w:hAnsi="Garamond" w:cs="Times New Roman"/>
          <w:b/>
          <w:bCs/>
        </w:rPr>
        <w:t>1. Missing or Incorrect Session Times</w:t>
      </w:r>
    </w:p>
    <w:p w14:paraId="1121F65A"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Common Problem:</w:t>
      </w:r>
    </w:p>
    <w:p w14:paraId="5EF49AE8" w14:textId="77777777" w:rsidR="00AD7489" w:rsidRPr="00990078" w:rsidRDefault="00AD7489" w:rsidP="00AD7489">
      <w:pPr>
        <w:spacing w:after="0"/>
        <w:rPr>
          <w:rFonts w:ascii="Garamond" w:hAnsi="Garamond" w:cs="Times New Roman"/>
        </w:rPr>
      </w:pPr>
      <w:r w:rsidRPr="00990078">
        <w:rPr>
          <w:rFonts w:ascii="Garamond" w:hAnsi="Garamond" w:cs="Times New Roman"/>
        </w:rPr>
        <w:t>The note does not include a clear start time, end time, or total session duration.</w:t>
      </w:r>
    </w:p>
    <w:p w14:paraId="68E7A9AB"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Why It Matters:</w:t>
      </w:r>
    </w:p>
    <w:p w14:paraId="1A64FAD6" w14:textId="77777777" w:rsidR="00AD7489" w:rsidRPr="00990078" w:rsidRDefault="00AD7489" w:rsidP="00AD7489">
      <w:pPr>
        <w:spacing w:after="0"/>
        <w:rPr>
          <w:rFonts w:ascii="Garamond" w:hAnsi="Garamond" w:cs="Times New Roman"/>
        </w:rPr>
      </w:pPr>
      <w:r w:rsidRPr="00990078">
        <w:rPr>
          <w:rFonts w:ascii="Garamond" w:hAnsi="Garamond" w:cs="Times New Roman"/>
        </w:rPr>
        <w:t>Medicaid requires documentation to support the exact time billed.</w:t>
      </w:r>
    </w:p>
    <w:p w14:paraId="2EF7A4EE"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Avoid It By:</w:t>
      </w:r>
    </w:p>
    <w:p w14:paraId="6D7F1959" w14:textId="77777777" w:rsidR="00AD7489" w:rsidRPr="00990078" w:rsidRDefault="00AD7489" w:rsidP="00AD7489">
      <w:pPr>
        <w:spacing w:after="0"/>
        <w:rPr>
          <w:rFonts w:ascii="Garamond" w:hAnsi="Garamond" w:cs="Times New Roman"/>
        </w:rPr>
      </w:pPr>
      <w:r w:rsidRPr="00990078">
        <w:rPr>
          <w:rFonts w:ascii="Segoe UI Symbol" w:hAnsi="Segoe UI Symbol" w:cs="Segoe UI Symbol"/>
        </w:rPr>
        <w:t>✔</w:t>
      </w:r>
      <w:r w:rsidRPr="00990078">
        <w:rPr>
          <w:rFonts w:ascii="Garamond" w:hAnsi="Garamond" w:cs="Times New Roman"/>
        </w:rPr>
        <w:t xml:space="preserve"> Double-checking start and end times</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Making sure total session duration is accurate</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Ensuring time documented matches the billing entry</w:t>
      </w:r>
    </w:p>
    <w:p w14:paraId="3FFC51D6" w14:textId="77777777" w:rsidR="00AD7489" w:rsidRPr="00990078" w:rsidRDefault="00AD7489" w:rsidP="00AD7489">
      <w:pPr>
        <w:spacing w:after="0"/>
        <w:rPr>
          <w:rFonts w:ascii="Garamond" w:hAnsi="Garamond" w:cs="Times New Roman"/>
        </w:rPr>
      </w:pPr>
    </w:p>
    <w:p w14:paraId="4DDC44CD" w14:textId="77777777" w:rsidR="00AD7489" w:rsidRPr="00990078" w:rsidRDefault="00AD7489" w:rsidP="00AD7489">
      <w:pPr>
        <w:spacing w:after="0"/>
        <w:rPr>
          <w:rFonts w:ascii="Garamond" w:hAnsi="Garamond" w:cs="Times New Roman"/>
        </w:rPr>
      </w:pPr>
    </w:p>
    <w:p w14:paraId="16483FF2"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2. CPT Code Does Not Match the Service Provided</w:t>
      </w:r>
    </w:p>
    <w:p w14:paraId="6CC9E7BA"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Common Problem:</w:t>
      </w:r>
    </w:p>
    <w:p w14:paraId="18CBA8FC" w14:textId="77777777" w:rsidR="00AD7489" w:rsidRPr="00990078" w:rsidRDefault="00AD7489" w:rsidP="00AD7489">
      <w:pPr>
        <w:spacing w:after="0"/>
        <w:rPr>
          <w:rFonts w:ascii="Garamond" w:hAnsi="Garamond" w:cs="Times New Roman"/>
        </w:rPr>
      </w:pPr>
      <w:r w:rsidRPr="00990078">
        <w:rPr>
          <w:rFonts w:ascii="Garamond" w:hAnsi="Garamond" w:cs="Times New Roman"/>
        </w:rPr>
        <w:t>The CPT code entered does not align with the actual service, provider role, or documentation content.</w:t>
      </w:r>
    </w:p>
    <w:p w14:paraId="581E79ED"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Why It Matters:</w:t>
      </w:r>
    </w:p>
    <w:p w14:paraId="243863A6" w14:textId="77777777" w:rsidR="00AD7489" w:rsidRPr="00990078" w:rsidRDefault="00AD7489" w:rsidP="00AD7489">
      <w:pPr>
        <w:spacing w:after="0"/>
        <w:rPr>
          <w:rFonts w:ascii="Garamond" w:hAnsi="Garamond" w:cs="Times New Roman"/>
        </w:rPr>
      </w:pPr>
      <w:r w:rsidRPr="00990078">
        <w:rPr>
          <w:rFonts w:ascii="Garamond" w:hAnsi="Garamond" w:cs="Times New Roman"/>
        </w:rPr>
        <w:t>Billing must match the service that was delivered.</w:t>
      </w:r>
    </w:p>
    <w:p w14:paraId="22539606"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Avoid It By:</w:t>
      </w:r>
    </w:p>
    <w:p w14:paraId="7BAF18ED" w14:textId="77777777" w:rsidR="00AD7489" w:rsidRPr="00990078" w:rsidRDefault="00AD7489" w:rsidP="00AD7489">
      <w:pPr>
        <w:spacing w:after="0"/>
        <w:rPr>
          <w:rFonts w:ascii="Garamond" w:hAnsi="Garamond" w:cs="Times New Roman"/>
        </w:rPr>
      </w:pPr>
      <w:r w:rsidRPr="00990078">
        <w:rPr>
          <w:rFonts w:ascii="Segoe UI Symbol" w:hAnsi="Segoe UI Symbol" w:cs="Segoe UI Symbol"/>
        </w:rPr>
        <w:t>✔</w:t>
      </w:r>
      <w:r w:rsidRPr="00990078">
        <w:rPr>
          <w:rFonts w:ascii="Garamond" w:hAnsi="Garamond" w:cs="Times New Roman"/>
        </w:rPr>
        <w:t xml:space="preserve"> Confirming the correct CPT code before finalizing the note</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Making sure your documentation supports the billed service</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Verifying your provider role matches the service billed</w:t>
      </w:r>
    </w:p>
    <w:p w14:paraId="075C3782" w14:textId="77777777" w:rsidR="00AD7489" w:rsidRPr="00990078" w:rsidRDefault="00AD7489" w:rsidP="00AD7489">
      <w:pPr>
        <w:spacing w:after="0"/>
        <w:rPr>
          <w:rFonts w:ascii="Garamond" w:hAnsi="Garamond" w:cs="Times New Roman"/>
        </w:rPr>
      </w:pPr>
    </w:p>
    <w:p w14:paraId="77CA2FFE" w14:textId="77777777" w:rsidR="00AD7489" w:rsidRPr="00990078" w:rsidRDefault="00AD7489" w:rsidP="00AD7489">
      <w:pPr>
        <w:spacing w:after="0"/>
        <w:rPr>
          <w:rFonts w:ascii="Garamond" w:hAnsi="Garamond" w:cs="Times New Roman"/>
        </w:rPr>
      </w:pPr>
    </w:p>
    <w:p w14:paraId="22A02534" w14:textId="77777777" w:rsidR="00AD7489" w:rsidRPr="00990078" w:rsidRDefault="00AD7489" w:rsidP="00AD7489">
      <w:pPr>
        <w:spacing w:after="0"/>
        <w:rPr>
          <w:rFonts w:ascii="Garamond" w:hAnsi="Garamond" w:cs="Times New Roman"/>
        </w:rPr>
      </w:pPr>
    </w:p>
    <w:p w14:paraId="74BFEE2A"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3. Missing Goals, Targets, or Clinical Progress</w:t>
      </w:r>
    </w:p>
    <w:p w14:paraId="0220BCE5"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Common Problem:</w:t>
      </w:r>
    </w:p>
    <w:p w14:paraId="3CFB4594" w14:textId="77777777" w:rsidR="00AD7489" w:rsidRPr="00990078" w:rsidRDefault="00AD7489" w:rsidP="00AD7489">
      <w:pPr>
        <w:spacing w:after="0"/>
        <w:rPr>
          <w:rFonts w:ascii="Garamond" w:hAnsi="Garamond" w:cs="Times New Roman"/>
        </w:rPr>
      </w:pPr>
      <w:r w:rsidRPr="00990078">
        <w:rPr>
          <w:rFonts w:ascii="Garamond" w:hAnsi="Garamond" w:cs="Times New Roman"/>
        </w:rPr>
        <w:t>The note does not clearly state what goals were addressed or how the client responded during the session.</w:t>
      </w:r>
    </w:p>
    <w:p w14:paraId="0EA914F0"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Why It Matters:</w:t>
      </w:r>
    </w:p>
    <w:p w14:paraId="07950153" w14:textId="77777777" w:rsidR="00AD7489" w:rsidRPr="00990078" w:rsidRDefault="00AD7489" w:rsidP="00AD7489">
      <w:pPr>
        <w:spacing w:after="0"/>
        <w:rPr>
          <w:rFonts w:ascii="Garamond" w:hAnsi="Garamond" w:cs="Times New Roman"/>
        </w:rPr>
      </w:pPr>
      <w:r w:rsidRPr="00990078">
        <w:rPr>
          <w:rFonts w:ascii="Garamond" w:hAnsi="Garamond" w:cs="Times New Roman"/>
        </w:rPr>
        <w:t>Medicaid documentation must show medical necessity and progress toward treatment goals.</w:t>
      </w:r>
    </w:p>
    <w:p w14:paraId="7A608139"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Avoid It By:</w:t>
      </w:r>
    </w:p>
    <w:p w14:paraId="634A7120" w14:textId="77777777" w:rsidR="00AD7489" w:rsidRPr="00990078" w:rsidRDefault="00AD7489" w:rsidP="00AD7489">
      <w:pPr>
        <w:spacing w:after="0"/>
        <w:rPr>
          <w:rFonts w:ascii="Garamond" w:hAnsi="Garamond" w:cs="Times New Roman"/>
        </w:rPr>
      </w:pPr>
      <w:r w:rsidRPr="00990078">
        <w:rPr>
          <w:rFonts w:ascii="Segoe UI Symbol" w:hAnsi="Segoe UI Symbol" w:cs="Segoe UI Symbol"/>
        </w:rPr>
        <w:lastRenderedPageBreak/>
        <w:t>✔</w:t>
      </w:r>
      <w:r w:rsidRPr="00990078">
        <w:rPr>
          <w:rFonts w:ascii="Garamond" w:hAnsi="Garamond" w:cs="Times New Roman"/>
        </w:rPr>
        <w:t xml:space="preserve"> Listing goals or treatment targets addressed</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Describing interventions used</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Including measurable progress or client response</w:t>
      </w:r>
    </w:p>
    <w:p w14:paraId="39E2B78F" w14:textId="77777777" w:rsidR="00AD7489" w:rsidRPr="00990078" w:rsidRDefault="00AD7489" w:rsidP="00AD7489">
      <w:pPr>
        <w:spacing w:after="0"/>
        <w:rPr>
          <w:rFonts w:ascii="Garamond" w:hAnsi="Garamond" w:cs="Times New Roman"/>
        </w:rPr>
      </w:pPr>
    </w:p>
    <w:p w14:paraId="49A8C81C"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4. Incomplete Required Documentation</w:t>
      </w:r>
    </w:p>
    <w:p w14:paraId="6B11A7DF"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Common Problem:</w:t>
      </w:r>
    </w:p>
    <w:p w14:paraId="1F61FDB7" w14:textId="77777777" w:rsidR="00AD7489" w:rsidRPr="00990078" w:rsidRDefault="00AD7489" w:rsidP="00AD7489">
      <w:pPr>
        <w:spacing w:after="0"/>
        <w:rPr>
          <w:rFonts w:ascii="Garamond" w:hAnsi="Garamond" w:cs="Times New Roman"/>
        </w:rPr>
      </w:pPr>
      <w:r w:rsidRPr="00990078">
        <w:rPr>
          <w:rFonts w:ascii="Garamond" w:hAnsi="Garamond" w:cs="Times New Roman"/>
        </w:rPr>
        <w:t xml:space="preserve">Required fields are left blank, signatures are missing, or key information is not entered in </w:t>
      </w:r>
      <w:proofErr w:type="spellStart"/>
      <w:r w:rsidRPr="00990078">
        <w:rPr>
          <w:rFonts w:ascii="Garamond" w:hAnsi="Garamond" w:cs="Times New Roman"/>
        </w:rPr>
        <w:t>CentralReach</w:t>
      </w:r>
      <w:proofErr w:type="spellEnd"/>
      <w:r w:rsidRPr="00990078">
        <w:rPr>
          <w:rFonts w:ascii="Garamond" w:hAnsi="Garamond" w:cs="Times New Roman"/>
        </w:rPr>
        <w:t>.</w:t>
      </w:r>
    </w:p>
    <w:p w14:paraId="0D4F17F2"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Why It Matters:</w:t>
      </w:r>
    </w:p>
    <w:p w14:paraId="2E5656D0" w14:textId="77777777" w:rsidR="00AD7489" w:rsidRPr="00990078" w:rsidRDefault="00AD7489" w:rsidP="00AD7489">
      <w:pPr>
        <w:spacing w:after="0"/>
        <w:rPr>
          <w:rFonts w:ascii="Garamond" w:hAnsi="Garamond" w:cs="Times New Roman"/>
        </w:rPr>
      </w:pPr>
      <w:r w:rsidRPr="00990078">
        <w:rPr>
          <w:rFonts w:ascii="Garamond" w:hAnsi="Garamond" w:cs="Times New Roman"/>
        </w:rPr>
        <w:t>Even one missing element can lead to billing issues or denials.</w:t>
      </w:r>
    </w:p>
    <w:p w14:paraId="414D305F"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Avoid It By:</w:t>
      </w:r>
    </w:p>
    <w:p w14:paraId="494578F0" w14:textId="77777777" w:rsidR="00AD7489" w:rsidRPr="00990078" w:rsidRDefault="00AD7489" w:rsidP="00AD7489">
      <w:pPr>
        <w:spacing w:after="0"/>
        <w:rPr>
          <w:rFonts w:ascii="Garamond" w:hAnsi="Garamond" w:cs="Times New Roman"/>
        </w:rPr>
      </w:pPr>
      <w:r w:rsidRPr="00990078">
        <w:rPr>
          <w:rFonts w:ascii="Segoe UI Symbol" w:hAnsi="Segoe UI Symbol" w:cs="Segoe UI Symbol"/>
        </w:rPr>
        <w:t>✔</w:t>
      </w:r>
      <w:r w:rsidRPr="00990078">
        <w:rPr>
          <w:rFonts w:ascii="Garamond" w:hAnsi="Garamond" w:cs="Times New Roman"/>
        </w:rPr>
        <w:t xml:space="preserve"> Reviewing all required fields before finalizing</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Completing signatures and authentication</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Double-checking for missing information</w:t>
      </w:r>
    </w:p>
    <w:p w14:paraId="093D7385" w14:textId="77777777" w:rsidR="00AD7489" w:rsidRPr="00990078" w:rsidRDefault="00AD7489" w:rsidP="00AD7489">
      <w:pPr>
        <w:spacing w:after="0"/>
        <w:rPr>
          <w:rFonts w:ascii="Garamond" w:hAnsi="Garamond" w:cs="Times New Roman"/>
        </w:rPr>
      </w:pPr>
    </w:p>
    <w:p w14:paraId="1585711D" w14:textId="77777777" w:rsidR="00AD7489" w:rsidRPr="00990078" w:rsidRDefault="00AD7489" w:rsidP="00AD7489">
      <w:pPr>
        <w:spacing w:after="0"/>
        <w:rPr>
          <w:rFonts w:ascii="Garamond" w:hAnsi="Garamond" w:cs="Times New Roman"/>
        </w:rPr>
      </w:pPr>
    </w:p>
    <w:p w14:paraId="3B511710" w14:textId="77777777" w:rsidR="00AD7489" w:rsidRPr="00990078" w:rsidRDefault="00AD7489" w:rsidP="00AD7489">
      <w:pPr>
        <w:spacing w:after="0"/>
        <w:rPr>
          <w:rFonts w:ascii="Garamond" w:hAnsi="Garamond" w:cs="Times New Roman"/>
        </w:rPr>
      </w:pPr>
    </w:p>
    <w:p w14:paraId="30EE9D20"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5. Note Is Too Vague or Does Not Clearly Support Billing</w:t>
      </w:r>
    </w:p>
    <w:p w14:paraId="4D0EA612"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Common Problem:</w:t>
      </w:r>
    </w:p>
    <w:p w14:paraId="4605EB63" w14:textId="77777777" w:rsidR="00AD7489" w:rsidRPr="00990078" w:rsidRDefault="00AD7489" w:rsidP="00AD7489">
      <w:pPr>
        <w:spacing w:after="0"/>
        <w:rPr>
          <w:rFonts w:ascii="Garamond" w:hAnsi="Garamond" w:cs="Times New Roman"/>
        </w:rPr>
      </w:pPr>
      <w:r w:rsidRPr="00990078">
        <w:rPr>
          <w:rFonts w:ascii="Garamond" w:hAnsi="Garamond" w:cs="Times New Roman"/>
        </w:rPr>
        <w:t>The note is too brief, subjective, or unclear about what actually occurred during the session.</w:t>
      </w:r>
    </w:p>
    <w:p w14:paraId="6C240F8D"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Why It Matters:</w:t>
      </w:r>
    </w:p>
    <w:p w14:paraId="3E758537" w14:textId="77777777" w:rsidR="00AD7489" w:rsidRPr="00990078" w:rsidRDefault="00AD7489" w:rsidP="00AD7489">
      <w:pPr>
        <w:spacing w:after="0"/>
        <w:rPr>
          <w:rFonts w:ascii="Garamond" w:hAnsi="Garamond" w:cs="Times New Roman"/>
        </w:rPr>
      </w:pPr>
      <w:r w:rsidRPr="00990078">
        <w:rPr>
          <w:rFonts w:ascii="Garamond" w:hAnsi="Garamond" w:cs="Times New Roman"/>
        </w:rPr>
        <w:t>If an outside reviewer cannot understand the service provided, the claim may not be supported.</w:t>
      </w:r>
    </w:p>
    <w:p w14:paraId="3D846586"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Avoid It By:</w:t>
      </w:r>
    </w:p>
    <w:p w14:paraId="1B3797A7" w14:textId="77777777" w:rsidR="00AD7489" w:rsidRPr="00990078" w:rsidRDefault="00AD7489" w:rsidP="00AD7489">
      <w:pPr>
        <w:spacing w:after="0"/>
        <w:rPr>
          <w:rFonts w:ascii="Garamond" w:hAnsi="Garamond" w:cs="Times New Roman"/>
        </w:rPr>
      </w:pPr>
      <w:r w:rsidRPr="00990078">
        <w:rPr>
          <w:rFonts w:ascii="Segoe UI Symbol" w:hAnsi="Segoe UI Symbol" w:cs="Segoe UI Symbol"/>
        </w:rPr>
        <w:t>✔</w:t>
      </w:r>
      <w:r w:rsidRPr="00990078">
        <w:rPr>
          <w:rFonts w:ascii="Garamond" w:hAnsi="Garamond" w:cs="Times New Roman"/>
        </w:rPr>
        <w:t xml:space="preserve"> Writing clearly and objectively</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Describing what happened during the session</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Making sure the note supports the billed service</w:t>
      </w:r>
    </w:p>
    <w:p w14:paraId="3EC1B091" w14:textId="77777777" w:rsidR="00AD7489" w:rsidRPr="00990078" w:rsidRDefault="00AD7489" w:rsidP="00AD7489">
      <w:pPr>
        <w:spacing w:after="0"/>
        <w:rPr>
          <w:rFonts w:ascii="Garamond" w:hAnsi="Garamond" w:cs="Times New Roman"/>
        </w:rPr>
      </w:pPr>
    </w:p>
    <w:p w14:paraId="279F8EC8" w14:textId="77777777" w:rsidR="00AD7489" w:rsidRPr="00990078" w:rsidRDefault="00AD7489" w:rsidP="00AD7489">
      <w:pPr>
        <w:spacing w:after="0"/>
        <w:jc w:val="center"/>
        <w:rPr>
          <w:rFonts w:ascii="Garamond" w:hAnsi="Garamond" w:cs="Times New Roman"/>
          <w:b/>
          <w:bCs/>
        </w:rPr>
      </w:pPr>
      <w:r w:rsidRPr="00990078">
        <w:rPr>
          <w:rFonts w:ascii="Garamond" w:hAnsi="Garamond" w:cs="Times New Roman"/>
          <w:b/>
          <w:bCs/>
        </w:rPr>
        <w:t>Before You Finalize, Ask Yourself:</w:t>
      </w:r>
    </w:p>
    <w:p w14:paraId="2F355BE9" w14:textId="77777777" w:rsidR="00AD7489" w:rsidRPr="00990078" w:rsidRDefault="00AD7489" w:rsidP="00AD7489">
      <w:pPr>
        <w:spacing w:after="0"/>
        <w:rPr>
          <w:rFonts w:ascii="Garamond" w:hAnsi="Garamond" w:cs="Times New Roman"/>
          <w:i/>
          <w:iCs/>
        </w:rPr>
      </w:pPr>
      <w:r w:rsidRPr="00990078">
        <w:rPr>
          <w:rFonts w:ascii="Garamond" w:hAnsi="Garamond" w:cs="Times New Roman"/>
          <w:i/>
          <w:iCs/>
        </w:rPr>
        <w:t>Would an outside reviewer understand exactly what service was provided, why it was medically necessary, and how it supports billing?</w:t>
      </w:r>
    </w:p>
    <w:p w14:paraId="2D13B789" w14:textId="77777777" w:rsidR="00AD7489" w:rsidRPr="00990078" w:rsidRDefault="00AD7489" w:rsidP="00AD7489">
      <w:pPr>
        <w:spacing w:after="0"/>
        <w:rPr>
          <w:rFonts w:ascii="Garamond" w:hAnsi="Garamond" w:cs="Times New Roman"/>
        </w:rPr>
      </w:pPr>
      <w:r w:rsidRPr="00990078">
        <w:rPr>
          <w:rFonts w:ascii="Garamond" w:hAnsi="Garamond" w:cs="Times New Roman"/>
        </w:rPr>
        <w:t>If not, revise the note before submitting.</w:t>
      </w:r>
    </w:p>
    <w:p w14:paraId="6874DDF5" w14:textId="77777777" w:rsidR="00AD7489" w:rsidRPr="00990078" w:rsidRDefault="00AD7489" w:rsidP="00AD7489">
      <w:pPr>
        <w:spacing w:after="0"/>
        <w:rPr>
          <w:rFonts w:ascii="Garamond" w:hAnsi="Garamond" w:cs="Times New Roman"/>
        </w:rPr>
      </w:pPr>
    </w:p>
    <w:p w14:paraId="6673DC04" w14:textId="77777777" w:rsidR="00AD7489" w:rsidRPr="00990078" w:rsidRDefault="00AD7489" w:rsidP="00AD7489">
      <w:pPr>
        <w:spacing w:after="0"/>
        <w:rPr>
          <w:rFonts w:ascii="Garamond" w:hAnsi="Garamond" w:cs="Times New Roman"/>
          <w:b/>
          <w:bCs/>
        </w:rPr>
      </w:pPr>
      <w:r w:rsidRPr="00990078">
        <w:rPr>
          <w:rFonts w:ascii="Garamond" w:hAnsi="Garamond" w:cs="Times New Roman"/>
          <w:b/>
          <w:bCs/>
        </w:rPr>
        <w:t>Quick Reminder</w:t>
      </w:r>
    </w:p>
    <w:p w14:paraId="05CC6165" w14:textId="77777777" w:rsidR="00AD7489" w:rsidRPr="00990078" w:rsidRDefault="00AD7489" w:rsidP="00AD7489">
      <w:pPr>
        <w:spacing w:after="0"/>
        <w:rPr>
          <w:rFonts w:ascii="Garamond" w:hAnsi="Garamond" w:cs="Times New Roman"/>
        </w:rPr>
      </w:pPr>
      <w:r w:rsidRPr="00990078">
        <w:rPr>
          <w:rFonts w:ascii="Garamond" w:hAnsi="Garamond" w:cs="Times New Roman"/>
        </w:rPr>
        <w:t>When in doubt:</w:t>
      </w:r>
    </w:p>
    <w:p w14:paraId="0CC10E4D" w14:textId="77777777" w:rsidR="00AD7489" w:rsidRPr="00990078" w:rsidRDefault="00AD7489" w:rsidP="00AD7489">
      <w:pPr>
        <w:numPr>
          <w:ilvl w:val="0"/>
          <w:numId w:val="7"/>
        </w:numPr>
        <w:spacing w:after="0"/>
        <w:rPr>
          <w:rFonts w:ascii="Garamond" w:hAnsi="Garamond" w:cs="Times New Roman"/>
        </w:rPr>
      </w:pPr>
      <w:r w:rsidRPr="00990078">
        <w:rPr>
          <w:rFonts w:ascii="Garamond" w:hAnsi="Garamond" w:cs="Times New Roman"/>
        </w:rPr>
        <w:t xml:space="preserve">Review the Medicaid Documentation Self-Check </w:t>
      </w:r>
    </w:p>
    <w:p w14:paraId="654E52B2" w14:textId="77777777" w:rsidR="00AD7489" w:rsidRPr="00990078" w:rsidRDefault="00AD7489" w:rsidP="00AD7489">
      <w:pPr>
        <w:numPr>
          <w:ilvl w:val="0"/>
          <w:numId w:val="7"/>
        </w:numPr>
        <w:spacing w:after="0"/>
        <w:rPr>
          <w:rFonts w:ascii="Garamond" w:hAnsi="Garamond" w:cs="Times New Roman"/>
        </w:rPr>
      </w:pPr>
      <w:r w:rsidRPr="00990078">
        <w:rPr>
          <w:rFonts w:ascii="Garamond" w:hAnsi="Garamond" w:cs="Times New Roman"/>
        </w:rPr>
        <w:t xml:space="preserve">Ask your supervisor before finalizing </w:t>
      </w:r>
    </w:p>
    <w:p w14:paraId="08C775BF" w14:textId="77777777" w:rsidR="00AD7489" w:rsidRPr="00990078" w:rsidRDefault="00AD7489" w:rsidP="00AD7489">
      <w:pPr>
        <w:numPr>
          <w:ilvl w:val="0"/>
          <w:numId w:val="7"/>
        </w:numPr>
        <w:spacing w:after="0"/>
        <w:rPr>
          <w:rFonts w:ascii="Garamond" w:hAnsi="Garamond" w:cs="Times New Roman"/>
        </w:rPr>
      </w:pPr>
      <w:r w:rsidRPr="00990078">
        <w:rPr>
          <w:rFonts w:ascii="Garamond" w:hAnsi="Garamond" w:cs="Times New Roman"/>
        </w:rPr>
        <w:t xml:space="preserve">Use the approved note template in </w:t>
      </w:r>
      <w:proofErr w:type="spellStart"/>
      <w:r w:rsidRPr="00990078">
        <w:rPr>
          <w:rFonts w:ascii="Garamond" w:hAnsi="Garamond" w:cs="Times New Roman"/>
        </w:rPr>
        <w:t>CentralReach</w:t>
      </w:r>
      <w:proofErr w:type="spellEnd"/>
    </w:p>
    <w:p w14:paraId="66FCD642" w14:textId="77777777" w:rsidR="00AD7489" w:rsidRPr="00990078" w:rsidRDefault="00AD7489" w:rsidP="00AD7489">
      <w:pPr>
        <w:spacing w:after="0"/>
        <w:rPr>
          <w:rFonts w:ascii="Garamond" w:hAnsi="Garamond" w:cs="Times New Roman"/>
        </w:rPr>
      </w:pPr>
    </w:p>
    <w:p w14:paraId="54DB74DE" w14:textId="77777777" w:rsidR="00F00586" w:rsidRPr="00990078" w:rsidRDefault="00F00586">
      <w:pPr>
        <w:rPr>
          <w:rFonts w:ascii="Garamond" w:hAnsi="Garamond"/>
        </w:rPr>
      </w:pPr>
      <w:r w:rsidRPr="00990078">
        <w:rPr>
          <w:rFonts w:ascii="Garamond" w:hAnsi="Garamond"/>
        </w:rPr>
        <w:br w:type="page"/>
      </w:r>
    </w:p>
    <w:p w14:paraId="397F9802" w14:textId="415E2C6F" w:rsidR="00AD7489" w:rsidRPr="00990078" w:rsidRDefault="00AD7489" w:rsidP="00F00586">
      <w:pPr>
        <w:jc w:val="center"/>
        <w:rPr>
          <w:rFonts w:ascii="Garamond" w:hAnsi="Garamond" w:cs="Times New Roman"/>
          <w:b/>
          <w:bCs/>
          <w:color w:val="156082" w:themeColor="accent1"/>
        </w:rPr>
      </w:pPr>
      <w:r w:rsidRPr="00990078">
        <w:rPr>
          <w:rFonts w:ascii="Garamond" w:hAnsi="Garamond" w:cs="Times New Roman"/>
          <w:b/>
          <w:bCs/>
          <w:color w:val="156082" w:themeColor="accent1"/>
        </w:rPr>
        <w:lastRenderedPageBreak/>
        <w:t>Harsha Behavioral Center</w:t>
      </w:r>
    </w:p>
    <w:p w14:paraId="6EF759FE" w14:textId="77777777" w:rsidR="00AD7489" w:rsidRPr="00990078" w:rsidRDefault="00AD7489" w:rsidP="00F00586">
      <w:pPr>
        <w:jc w:val="center"/>
        <w:rPr>
          <w:rFonts w:ascii="Garamond" w:hAnsi="Garamond" w:cs="Times New Roman"/>
          <w:b/>
          <w:bCs/>
          <w:color w:val="156082" w:themeColor="accent1"/>
        </w:rPr>
      </w:pPr>
      <w:r w:rsidRPr="00990078">
        <w:rPr>
          <w:rFonts w:ascii="Garamond" w:hAnsi="Garamond" w:cs="Times New Roman"/>
          <w:b/>
          <w:bCs/>
          <w:color w:val="156082" w:themeColor="accent1"/>
        </w:rPr>
        <w:t>ABA Medicaid Documentation Self-Check</w:t>
      </w:r>
    </w:p>
    <w:p w14:paraId="22445A3D" w14:textId="77777777" w:rsidR="00AD7489" w:rsidRPr="00990078" w:rsidRDefault="00AD7489" w:rsidP="00AD7489">
      <w:pPr>
        <w:rPr>
          <w:rFonts w:ascii="Garamond" w:hAnsi="Garamond" w:cs="Times New Roman"/>
          <w:b/>
          <w:bCs/>
        </w:rPr>
      </w:pPr>
      <w:r w:rsidRPr="00990078">
        <w:rPr>
          <w:rFonts w:ascii="Garamond" w:hAnsi="Garamond" w:cs="Times New Roman"/>
          <w:b/>
          <w:bCs/>
        </w:rPr>
        <w:t>Before You Finalize Your Note, Confirm the Following:</w:t>
      </w:r>
    </w:p>
    <w:p w14:paraId="33469E78" w14:textId="77777777" w:rsidR="00AD7489" w:rsidRPr="00990078" w:rsidRDefault="00AD7489" w:rsidP="00AD7489">
      <w:pPr>
        <w:rPr>
          <w:rFonts w:ascii="Garamond" w:hAnsi="Garamond" w:cs="Times New Roman"/>
          <w:b/>
          <w:bCs/>
        </w:rPr>
      </w:pPr>
      <w:r w:rsidRPr="00990078">
        <w:rPr>
          <w:rFonts w:ascii="Garamond" w:hAnsi="Garamond" w:cs="Times New Roman"/>
          <w:b/>
          <w:bCs/>
        </w:rPr>
        <w:t>Session Basics</w:t>
      </w:r>
    </w:p>
    <w:p w14:paraId="373A1FEF" w14:textId="77777777" w:rsidR="00AD7489" w:rsidRPr="00990078" w:rsidRDefault="00AD7489" w:rsidP="00AD7489">
      <w:pPr>
        <w:rPr>
          <w:rFonts w:ascii="Garamond" w:hAnsi="Garamond" w:cs="Times New Roman"/>
        </w:rPr>
      </w:pPr>
      <w:r w:rsidRPr="00990078">
        <w:rPr>
          <w:rFonts w:ascii="Segoe UI Symbol" w:hAnsi="Segoe UI Symbol" w:cs="Segoe UI Symbol"/>
        </w:rPr>
        <w:t>☐</w:t>
      </w:r>
      <w:r w:rsidRPr="00990078">
        <w:rPr>
          <w:rFonts w:ascii="Garamond" w:hAnsi="Garamond" w:cs="Times New Roman"/>
        </w:rPr>
        <w:t xml:space="preserve"> I entered the correct date of service</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I documented the correct start and end time</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My total session time matches what was provided</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I included the correct location of service</w:t>
      </w:r>
    </w:p>
    <w:p w14:paraId="4BE7F275" w14:textId="77777777" w:rsidR="00AD7489" w:rsidRPr="00990078" w:rsidRDefault="00AD7489" w:rsidP="00AD7489">
      <w:pPr>
        <w:rPr>
          <w:rFonts w:ascii="Garamond" w:hAnsi="Garamond" w:cs="Times New Roman"/>
          <w:b/>
          <w:bCs/>
        </w:rPr>
      </w:pPr>
      <w:r w:rsidRPr="00990078">
        <w:rPr>
          <w:rFonts w:ascii="Garamond" w:hAnsi="Garamond" w:cs="Times New Roman"/>
          <w:b/>
          <w:bCs/>
        </w:rPr>
        <w:t>Billing / Authorization Match</w:t>
      </w:r>
    </w:p>
    <w:p w14:paraId="1C4D5C28" w14:textId="77777777" w:rsidR="00AD7489" w:rsidRPr="00990078" w:rsidRDefault="00AD7489" w:rsidP="00AD7489">
      <w:pPr>
        <w:rPr>
          <w:rFonts w:ascii="Garamond" w:hAnsi="Garamond" w:cs="Times New Roman"/>
        </w:rPr>
      </w:pPr>
      <w:r w:rsidRPr="00990078">
        <w:rPr>
          <w:rFonts w:ascii="Segoe UI Symbol" w:hAnsi="Segoe UI Symbol" w:cs="Segoe UI Symbol"/>
        </w:rPr>
        <w:t>☐</w:t>
      </w:r>
      <w:r w:rsidRPr="00990078">
        <w:rPr>
          <w:rFonts w:ascii="Garamond" w:hAnsi="Garamond" w:cs="Times New Roman"/>
        </w:rPr>
        <w:t xml:space="preserve"> I selected the correct CPT code</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My note reflects the service that was actually provided</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My documentation matches the authorized service</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My provider role/credentials match the service billed</w:t>
      </w:r>
    </w:p>
    <w:p w14:paraId="5ED5225A" w14:textId="77777777" w:rsidR="00AD7489" w:rsidRPr="00990078" w:rsidRDefault="00AD7489" w:rsidP="00AD7489">
      <w:pPr>
        <w:rPr>
          <w:rFonts w:ascii="Garamond" w:hAnsi="Garamond" w:cs="Times New Roman"/>
          <w:b/>
          <w:bCs/>
        </w:rPr>
      </w:pPr>
      <w:r w:rsidRPr="00990078">
        <w:rPr>
          <w:rFonts w:ascii="Garamond" w:hAnsi="Garamond" w:cs="Times New Roman"/>
          <w:b/>
          <w:bCs/>
        </w:rPr>
        <w:t>Clinical Content</w:t>
      </w:r>
    </w:p>
    <w:p w14:paraId="3193BCE6" w14:textId="77777777" w:rsidR="00AD7489" w:rsidRPr="00990078" w:rsidRDefault="00AD7489" w:rsidP="00AD7489">
      <w:pPr>
        <w:rPr>
          <w:rFonts w:ascii="Garamond" w:hAnsi="Garamond" w:cs="Times New Roman"/>
        </w:rPr>
      </w:pPr>
      <w:r w:rsidRPr="00990078">
        <w:rPr>
          <w:rFonts w:ascii="Segoe UI Symbol" w:hAnsi="Segoe UI Symbol" w:cs="Segoe UI Symbol"/>
        </w:rPr>
        <w:t>☐</w:t>
      </w:r>
      <w:r w:rsidRPr="00990078">
        <w:rPr>
          <w:rFonts w:ascii="Garamond" w:hAnsi="Garamond" w:cs="Times New Roman"/>
        </w:rPr>
        <w:t xml:space="preserve"> I documented the goals or targets addressed</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I described the interventions / teaching strategies used</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I included the client’s response and progress</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I included objective or measurable data</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My note clearly explains what happened during the session</w:t>
      </w:r>
    </w:p>
    <w:p w14:paraId="0BC2941B" w14:textId="77777777" w:rsidR="00AD7489" w:rsidRPr="00990078" w:rsidRDefault="00AD7489" w:rsidP="00AD7489">
      <w:pPr>
        <w:rPr>
          <w:rFonts w:ascii="Garamond" w:hAnsi="Garamond" w:cs="Times New Roman"/>
          <w:b/>
          <w:bCs/>
        </w:rPr>
      </w:pPr>
      <w:r w:rsidRPr="00990078">
        <w:rPr>
          <w:rFonts w:ascii="Garamond" w:hAnsi="Garamond" w:cs="Times New Roman"/>
          <w:b/>
          <w:bCs/>
        </w:rPr>
        <w:t>If Applicable</w:t>
      </w:r>
    </w:p>
    <w:p w14:paraId="42B88D66" w14:textId="77777777" w:rsidR="00AD7489" w:rsidRPr="00990078" w:rsidRDefault="00AD7489" w:rsidP="00AD7489">
      <w:pPr>
        <w:rPr>
          <w:rFonts w:ascii="Garamond" w:hAnsi="Garamond" w:cs="Times New Roman"/>
        </w:rPr>
      </w:pPr>
      <w:r w:rsidRPr="00990078">
        <w:rPr>
          <w:rFonts w:ascii="Segoe UI Symbol" w:hAnsi="Segoe UI Symbol" w:cs="Segoe UI Symbol"/>
        </w:rPr>
        <w:t>☐</w:t>
      </w:r>
      <w:r w:rsidRPr="00990078">
        <w:rPr>
          <w:rFonts w:ascii="Garamond" w:hAnsi="Garamond" w:cs="Times New Roman"/>
        </w:rPr>
        <w:t xml:space="preserve"> I documented any behavior incidents clearly</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I documented any parent/caregiver involvement</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I clearly differentiated supervision, overlap, or BCBA support</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I included any required protocol modification or supervision details</w:t>
      </w:r>
    </w:p>
    <w:p w14:paraId="3D1567BC" w14:textId="77777777" w:rsidR="00AD7489" w:rsidRPr="00990078" w:rsidRDefault="00AD7489" w:rsidP="00AD7489">
      <w:pPr>
        <w:rPr>
          <w:rFonts w:ascii="Garamond" w:hAnsi="Garamond" w:cs="Times New Roman"/>
          <w:b/>
          <w:bCs/>
        </w:rPr>
      </w:pPr>
      <w:r w:rsidRPr="00990078">
        <w:rPr>
          <w:rFonts w:ascii="Garamond" w:hAnsi="Garamond" w:cs="Times New Roman"/>
          <w:b/>
          <w:bCs/>
        </w:rPr>
        <w:t>Final Compliance Check</w:t>
      </w:r>
    </w:p>
    <w:p w14:paraId="79395D6D" w14:textId="77777777" w:rsidR="00AD7489" w:rsidRPr="00990078" w:rsidRDefault="00AD7489" w:rsidP="00AD7489">
      <w:pPr>
        <w:rPr>
          <w:rFonts w:ascii="Garamond" w:hAnsi="Garamond" w:cs="Times New Roman"/>
        </w:rPr>
      </w:pPr>
      <w:r w:rsidRPr="00990078">
        <w:rPr>
          <w:rFonts w:ascii="Segoe UI Symbol" w:hAnsi="Segoe UI Symbol" w:cs="Segoe UI Symbol"/>
        </w:rPr>
        <w:t>☐</w:t>
      </w:r>
      <w:r w:rsidRPr="00990078">
        <w:rPr>
          <w:rFonts w:ascii="Garamond" w:hAnsi="Garamond" w:cs="Times New Roman"/>
        </w:rPr>
        <w:t xml:space="preserve"> My note is written in objective, professional language</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I completed all required fields in </w:t>
      </w:r>
      <w:proofErr w:type="spellStart"/>
      <w:r w:rsidRPr="00990078">
        <w:rPr>
          <w:rFonts w:ascii="Garamond" w:hAnsi="Garamond" w:cs="Times New Roman"/>
        </w:rPr>
        <w:t>CentralReach</w:t>
      </w:r>
      <w:proofErr w:type="spellEnd"/>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I reviewed my note for missing information or errors</w:t>
      </w:r>
      <w:r w:rsidRPr="00990078">
        <w:rPr>
          <w:rFonts w:ascii="Garamond" w:hAnsi="Garamond" w:cs="Times New Roman"/>
        </w:rPr>
        <w:br/>
      </w:r>
      <w:r w:rsidRPr="00990078">
        <w:rPr>
          <w:rFonts w:ascii="Segoe UI Symbol" w:hAnsi="Segoe UI Symbol" w:cs="Segoe UI Symbol"/>
        </w:rPr>
        <w:t>☐</w:t>
      </w:r>
      <w:r w:rsidRPr="00990078">
        <w:rPr>
          <w:rFonts w:ascii="Garamond" w:hAnsi="Garamond" w:cs="Times New Roman"/>
        </w:rPr>
        <w:t xml:space="preserve"> My note is ready to be signed and finalized within 24 hours</w:t>
      </w:r>
    </w:p>
    <w:p w14:paraId="60007DA0" w14:textId="0DE04A9B" w:rsidR="00AD7489" w:rsidRPr="00990078" w:rsidRDefault="00F00586" w:rsidP="00AD7489">
      <w:pPr>
        <w:rPr>
          <w:rFonts w:ascii="Garamond" w:hAnsi="Garamond" w:cs="Times New Roman"/>
        </w:rPr>
      </w:pPr>
      <w:r w:rsidRPr="00990078">
        <w:rPr>
          <w:rFonts w:ascii="Garamond" w:hAnsi="Garamond" w:cs="Times New Roman"/>
        </w:rPr>
        <w:br w:type="page"/>
      </w:r>
    </w:p>
    <w:p w14:paraId="20CD9B0A" w14:textId="77777777" w:rsidR="00AD7489" w:rsidRPr="00990078" w:rsidRDefault="00AD7489" w:rsidP="00F04DDE">
      <w:pPr>
        <w:pStyle w:val="Heading1"/>
        <w:jc w:val="center"/>
        <w:rPr>
          <w:rFonts w:ascii="Garamond" w:hAnsi="Garamond" w:cs="Times New Roman"/>
          <w:b/>
          <w:bCs/>
          <w:color w:val="auto"/>
          <w:sz w:val="24"/>
          <w:szCs w:val="24"/>
        </w:rPr>
      </w:pPr>
      <w:bookmarkStart w:id="50" w:name="_Toc228175336"/>
      <w:r w:rsidRPr="00990078">
        <w:rPr>
          <w:rFonts w:ascii="Garamond" w:hAnsi="Garamond" w:cs="Times New Roman"/>
          <w:b/>
          <w:bCs/>
          <w:color w:val="auto"/>
          <w:sz w:val="24"/>
          <w:szCs w:val="24"/>
        </w:rPr>
        <w:lastRenderedPageBreak/>
        <w:t>Appendix E</w:t>
      </w:r>
      <w:bookmarkEnd w:id="50"/>
    </w:p>
    <w:p w14:paraId="0AC1802A" w14:textId="77777777" w:rsidR="00AD7489" w:rsidRPr="00990078" w:rsidRDefault="00AD7489" w:rsidP="00F00586">
      <w:pPr>
        <w:jc w:val="center"/>
        <w:rPr>
          <w:rFonts w:ascii="Garamond" w:hAnsi="Garamond" w:cs="Times New Roman"/>
          <w:b/>
          <w:bCs/>
        </w:rPr>
      </w:pPr>
      <w:r w:rsidRPr="00990078">
        <w:rPr>
          <w:rFonts w:ascii="Garamond" w:hAnsi="Garamond" w:cs="Times New Roman"/>
          <w:b/>
          <w:bCs/>
        </w:rPr>
        <w:t>Monitoring, Evaluation, and Learning (MEL) Plan</w:t>
      </w:r>
    </w:p>
    <w:tbl>
      <w:tblPr>
        <w:tblW w:w="0" w:type="auto"/>
        <w:tblCellSpacing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5" w:type="dxa"/>
          <w:left w:w="15" w:type="dxa"/>
          <w:bottom w:w="15" w:type="dxa"/>
          <w:right w:w="15" w:type="dxa"/>
        </w:tblCellMar>
        <w:tblLook w:val="04A0" w:firstRow="1" w:lastRow="0" w:firstColumn="1" w:lastColumn="0" w:noHBand="0" w:noVBand="1"/>
      </w:tblPr>
      <w:tblGrid>
        <w:gridCol w:w="1615"/>
        <w:gridCol w:w="1590"/>
        <w:gridCol w:w="1525"/>
        <w:gridCol w:w="1583"/>
        <w:gridCol w:w="1367"/>
        <w:gridCol w:w="1650"/>
      </w:tblGrid>
      <w:tr w:rsidR="00AD7489" w:rsidRPr="00990078" w14:paraId="4BA55798" w14:textId="77777777" w:rsidTr="00F00586">
        <w:trPr>
          <w:tblHeader/>
          <w:tblCellSpacing w:w="15" w:type="dxa"/>
        </w:trPr>
        <w:tc>
          <w:tcPr>
            <w:tcW w:w="0" w:type="auto"/>
            <w:vAlign w:val="center"/>
            <w:hideMark/>
          </w:tcPr>
          <w:p w14:paraId="3C5E8135" w14:textId="77777777" w:rsidR="00AD7489" w:rsidRPr="00990078" w:rsidRDefault="00AD7489" w:rsidP="00AD7489">
            <w:pPr>
              <w:rPr>
                <w:rFonts w:ascii="Garamond" w:hAnsi="Garamond"/>
                <w:b/>
                <w:bCs/>
              </w:rPr>
            </w:pPr>
            <w:r w:rsidRPr="00990078">
              <w:rPr>
                <w:rFonts w:ascii="Garamond" w:hAnsi="Garamond"/>
                <w:b/>
                <w:bCs/>
              </w:rPr>
              <w:t>SMART Goal</w:t>
            </w:r>
          </w:p>
        </w:tc>
        <w:tc>
          <w:tcPr>
            <w:tcW w:w="0" w:type="auto"/>
            <w:vAlign w:val="center"/>
            <w:hideMark/>
          </w:tcPr>
          <w:p w14:paraId="108F9FB4" w14:textId="77777777" w:rsidR="00AD7489" w:rsidRPr="00990078" w:rsidRDefault="00AD7489" w:rsidP="00AD7489">
            <w:pPr>
              <w:rPr>
                <w:rFonts w:ascii="Garamond" w:hAnsi="Garamond"/>
                <w:b/>
                <w:bCs/>
              </w:rPr>
            </w:pPr>
            <w:r w:rsidRPr="00990078">
              <w:rPr>
                <w:rFonts w:ascii="Garamond" w:hAnsi="Garamond"/>
                <w:b/>
                <w:bCs/>
              </w:rPr>
              <w:t>Indicator / Measure</w:t>
            </w:r>
          </w:p>
        </w:tc>
        <w:tc>
          <w:tcPr>
            <w:tcW w:w="0" w:type="auto"/>
            <w:vAlign w:val="center"/>
            <w:hideMark/>
          </w:tcPr>
          <w:p w14:paraId="70EE80DF" w14:textId="77777777" w:rsidR="00AD7489" w:rsidRPr="00990078" w:rsidRDefault="00AD7489" w:rsidP="00AD7489">
            <w:pPr>
              <w:rPr>
                <w:rFonts w:ascii="Garamond" w:hAnsi="Garamond"/>
                <w:b/>
                <w:bCs/>
              </w:rPr>
            </w:pPr>
            <w:r w:rsidRPr="00990078">
              <w:rPr>
                <w:rFonts w:ascii="Garamond" w:hAnsi="Garamond"/>
                <w:b/>
                <w:bCs/>
              </w:rPr>
              <w:t>Data Source</w:t>
            </w:r>
          </w:p>
        </w:tc>
        <w:tc>
          <w:tcPr>
            <w:tcW w:w="1563" w:type="dxa"/>
            <w:vAlign w:val="center"/>
            <w:hideMark/>
          </w:tcPr>
          <w:p w14:paraId="08D2EBF8" w14:textId="77777777" w:rsidR="00AD7489" w:rsidRPr="00990078" w:rsidRDefault="00AD7489" w:rsidP="00AD7489">
            <w:pPr>
              <w:rPr>
                <w:rFonts w:ascii="Garamond" w:hAnsi="Garamond"/>
                <w:b/>
                <w:bCs/>
              </w:rPr>
            </w:pPr>
            <w:r w:rsidRPr="00990078">
              <w:rPr>
                <w:rFonts w:ascii="Garamond" w:hAnsi="Garamond"/>
                <w:b/>
                <w:bCs/>
              </w:rPr>
              <w:t>Frequency</w:t>
            </w:r>
          </w:p>
        </w:tc>
        <w:tc>
          <w:tcPr>
            <w:tcW w:w="1638" w:type="dxa"/>
            <w:vAlign w:val="center"/>
            <w:hideMark/>
          </w:tcPr>
          <w:p w14:paraId="1EB32D70" w14:textId="77777777" w:rsidR="00AD7489" w:rsidRPr="00990078" w:rsidRDefault="00AD7489" w:rsidP="00AD7489">
            <w:pPr>
              <w:rPr>
                <w:rFonts w:ascii="Garamond" w:hAnsi="Garamond"/>
                <w:b/>
                <w:bCs/>
              </w:rPr>
            </w:pPr>
            <w:r w:rsidRPr="00990078">
              <w:rPr>
                <w:rFonts w:ascii="Garamond" w:hAnsi="Garamond"/>
                <w:b/>
                <w:bCs/>
              </w:rPr>
              <w:t>Responsible Party</w:t>
            </w:r>
          </w:p>
        </w:tc>
        <w:tc>
          <w:tcPr>
            <w:tcW w:w="1290" w:type="dxa"/>
            <w:vAlign w:val="center"/>
            <w:hideMark/>
          </w:tcPr>
          <w:p w14:paraId="5AE2D8D5" w14:textId="77777777" w:rsidR="00AD7489" w:rsidRPr="00990078" w:rsidRDefault="00AD7489" w:rsidP="00AD7489">
            <w:pPr>
              <w:rPr>
                <w:rFonts w:ascii="Garamond" w:hAnsi="Garamond"/>
                <w:b/>
                <w:bCs/>
              </w:rPr>
            </w:pPr>
            <w:r w:rsidRPr="00990078">
              <w:rPr>
                <w:rFonts w:ascii="Garamond" w:hAnsi="Garamond"/>
                <w:b/>
                <w:bCs/>
              </w:rPr>
              <w:t>Use of Findings / Action Steps</w:t>
            </w:r>
          </w:p>
        </w:tc>
      </w:tr>
      <w:tr w:rsidR="00AD7489" w:rsidRPr="00990078" w14:paraId="55F5FFAC" w14:textId="77777777" w:rsidTr="00F00586">
        <w:trPr>
          <w:tblCellSpacing w:w="15" w:type="dxa"/>
        </w:trPr>
        <w:tc>
          <w:tcPr>
            <w:tcW w:w="0" w:type="auto"/>
            <w:vAlign w:val="center"/>
            <w:hideMark/>
          </w:tcPr>
          <w:p w14:paraId="211E317F" w14:textId="77777777" w:rsidR="00AD7489" w:rsidRPr="00990078" w:rsidRDefault="00AD7489" w:rsidP="00AD7489">
            <w:pPr>
              <w:rPr>
                <w:rFonts w:ascii="Garamond" w:hAnsi="Garamond"/>
              </w:rPr>
            </w:pPr>
            <w:r w:rsidRPr="00990078">
              <w:rPr>
                <w:rFonts w:ascii="Garamond" w:hAnsi="Garamond"/>
              </w:rPr>
              <w:t>Increase Medicaid documentation compliance to ≥ 90% within 6 months of implementation</w:t>
            </w:r>
          </w:p>
        </w:tc>
        <w:tc>
          <w:tcPr>
            <w:tcW w:w="0" w:type="auto"/>
            <w:vAlign w:val="center"/>
            <w:hideMark/>
          </w:tcPr>
          <w:p w14:paraId="1E5D8F5C" w14:textId="77777777" w:rsidR="00AD7489" w:rsidRPr="00990078" w:rsidRDefault="00AD7489" w:rsidP="00AD7489">
            <w:pPr>
              <w:rPr>
                <w:rFonts w:ascii="Garamond" w:hAnsi="Garamond"/>
              </w:rPr>
            </w:pPr>
            <w:r w:rsidRPr="00990078">
              <w:rPr>
                <w:rFonts w:ascii="Garamond" w:hAnsi="Garamond"/>
              </w:rPr>
              <w:t>Documentation Compliance Audit Tool (DCAT) score (percentage of compliant items per note)</w:t>
            </w:r>
          </w:p>
        </w:tc>
        <w:tc>
          <w:tcPr>
            <w:tcW w:w="0" w:type="auto"/>
            <w:vAlign w:val="center"/>
            <w:hideMark/>
          </w:tcPr>
          <w:p w14:paraId="06517512" w14:textId="77777777" w:rsidR="00AD7489" w:rsidRPr="00990078" w:rsidRDefault="00AD7489" w:rsidP="00AD7489">
            <w:pPr>
              <w:rPr>
                <w:rFonts w:ascii="Garamond" w:hAnsi="Garamond"/>
              </w:rPr>
            </w:pPr>
            <w:r w:rsidRPr="00990078">
              <w:rPr>
                <w:rFonts w:ascii="Garamond" w:hAnsi="Garamond"/>
              </w:rPr>
              <w:t>Monthly QA documentation audits using DCAT</w:t>
            </w:r>
          </w:p>
        </w:tc>
        <w:tc>
          <w:tcPr>
            <w:tcW w:w="1563" w:type="dxa"/>
            <w:vAlign w:val="center"/>
            <w:hideMark/>
          </w:tcPr>
          <w:p w14:paraId="7E04F34D" w14:textId="77777777" w:rsidR="00AD7489" w:rsidRPr="00990078" w:rsidRDefault="00AD7489" w:rsidP="00AD7489">
            <w:pPr>
              <w:rPr>
                <w:rFonts w:ascii="Garamond" w:hAnsi="Garamond"/>
              </w:rPr>
            </w:pPr>
            <w:r w:rsidRPr="00990078">
              <w:rPr>
                <w:rFonts w:ascii="Garamond" w:hAnsi="Garamond"/>
              </w:rPr>
              <w:t>Monthly</w:t>
            </w:r>
          </w:p>
        </w:tc>
        <w:tc>
          <w:tcPr>
            <w:tcW w:w="1638" w:type="dxa"/>
            <w:vAlign w:val="center"/>
            <w:hideMark/>
          </w:tcPr>
          <w:p w14:paraId="1EF6C0EB" w14:textId="77777777" w:rsidR="00AD7489" w:rsidRPr="00990078" w:rsidRDefault="00AD7489" w:rsidP="00AD7489">
            <w:pPr>
              <w:rPr>
                <w:rFonts w:ascii="Garamond" w:hAnsi="Garamond"/>
              </w:rPr>
            </w:pPr>
            <w:r w:rsidRPr="00990078">
              <w:rPr>
                <w:rFonts w:ascii="Garamond" w:hAnsi="Garamond"/>
              </w:rPr>
              <w:t>Quality Assurance (QA) Team; Clinical Director</w:t>
            </w:r>
          </w:p>
        </w:tc>
        <w:tc>
          <w:tcPr>
            <w:tcW w:w="1290" w:type="dxa"/>
            <w:vAlign w:val="center"/>
            <w:hideMark/>
          </w:tcPr>
          <w:p w14:paraId="7B53B93B" w14:textId="77777777" w:rsidR="00AD7489" w:rsidRPr="00990078" w:rsidRDefault="00AD7489" w:rsidP="00AD7489">
            <w:pPr>
              <w:rPr>
                <w:rFonts w:ascii="Garamond" w:hAnsi="Garamond"/>
              </w:rPr>
            </w:pPr>
            <w:r w:rsidRPr="00990078">
              <w:rPr>
                <w:rFonts w:ascii="Garamond" w:hAnsi="Garamond"/>
              </w:rPr>
              <w:t>Identify documentation errors and trends; provide targeted staff feedback and retraining; adjust checklist or workflow supports as needed; recognize staff meeting compliance benchmarks</w:t>
            </w:r>
          </w:p>
        </w:tc>
      </w:tr>
      <w:tr w:rsidR="00AD7489" w:rsidRPr="00990078" w14:paraId="7E172863" w14:textId="77777777" w:rsidTr="00F00586">
        <w:trPr>
          <w:tblCellSpacing w:w="15" w:type="dxa"/>
        </w:trPr>
        <w:tc>
          <w:tcPr>
            <w:tcW w:w="0" w:type="auto"/>
            <w:vAlign w:val="center"/>
            <w:hideMark/>
          </w:tcPr>
          <w:p w14:paraId="595E5169" w14:textId="77777777" w:rsidR="00AD7489" w:rsidRPr="00990078" w:rsidRDefault="00AD7489" w:rsidP="00AD7489">
            <w:pPr>
              <w:rPr>
                <w:rFonts w:ascii="Garamond" w:hAnsi="Garamond"/>
              </w:rPr>
            </w:pPr>
            <w:r w:rsidRPr="00990078">
              <w:rPr>
                <w:rFonts w:ascii="Garamond" w:hAnsi="Garamond"/>
              </w:rPr>
              <w:t>Reduce documentation-related Medicaid claim denials by ≥ 25% within 6 months of implementation</w:t>
            </w:r>
          </w:p>
        </w:tc>
        <w:tc>
          <w:tcPr>
            <w:tcW w:w="0" w:type="auto"/>
            <w:vAlign w:val="center"/>
            <w:hideMark/>
          </w:tcPr>
          <w:p w14:paraId="12660084" w14:textId="77777777" w:rsidR="00AD7489" w:rsidRPr="00990078" w:rsidRDefault="00AD7489" w:rsidP="00AD7489">
            <w:pPr>
              <w:rPr>
                <w:rFonts w:ascii="Garamond" w:hAnsi="Garamond"/>
              </w:rPr>
            </w:pPr>
            <w:r w:rsidRPr="00990078">
              <w:rPr>
                <w:rFonts w:ascii="Garamond" w:hAnsi="Garamond"/>
              </w:rPr>
              <w:t>Percentage of claims denied due to documentation errors</w:t>
            </w:r>
          </w:p>
        </w:tc>
        <w:tc>
          <w:tcPr>
            <w:tcW w:w="0" w:type="auto"/>
            <w:vAlign w:val="center"/>
            <w:hideMark/>
          </w:tcPr>
          <w:p w14:paraId="6E2E737C" w14:textId="77777777" w:rsidR="00AD7489" w:rsidRPr="00990078" w:rsidRDefault="00AD7489" w:rsidP="00AD7489">
            <w:pPr>
              <w:rPr>
                <w:rFonts w:ascii="Garamond" w:hAnsi="Garamond"/>
              </w:rPr>
            </w:pPr>
            <w:proofErr w:type="spellStart"/>
            <w:r w:rsidRPr="00990078">
              <w:rPr>
                <w:rFonts w:ascii="Garamond" w:hAnsi="Garamond"/>
              </w:rPr>
              <w:t>CentralReach</w:t>
            </w:r>
            <w:proofErr w:type="spellEnd"/>
            <w:r w:rsidRPr="00990078">
              <w:rPr>
                <w:rFonts w:ascii="Garamond" w:hAnsi="Garamond"/>
              </w:rPr>
              <w:t xml:space="preserve"> billing reports; internal denial tracking data</w:t>
            </w:r>
          </w:p>
        </w:tc>
        <w:tc>
          <w:tcPr>
            <w:tcW w:w="1563" w:type="dxa"/>
            <w:vAlign w:val="center"/>
            <w:hideMark/>
          </w:tcPr>
          <w:p w14:paraId="07114A58" w14:textId="77777777" w:rsidR="00AD7489" w:rsidRPr="00990078" w:rsidRDefault="00AD7489" w:rsidP="00AD7489">
            <w:pPr>
              <w:rPr>
                <w:rFonts w:ascii="Garamond" w:hAnsi="Garamond"/>
              </w:rPr>
            </w:pPr>
            <w:r w:rsidRPr="00990078">
              <w:rPr>
                <w:rFonts w:ascii="Garamond" w:hAnsi="Garamond"/>
              </w:rPr>
              <w:t>Monthly</w:t>
            </w:r>
          </w:p>
        </w:tc>
        <w:tc>
          <w:tcPr>
            <w:tcW w:w="1638" w:type="dxa"/>
            <w:vAlign w:val="center"/>
            <w:hideMark/>
          </w:tcPr>
          <w:p w14:paraId="3D5DD3D5" w14:textId="77777777" w:rsidR="00AD7489" w:rsidRPr="00990078" w:rsidRDefault="00AD7489" w:rsidP="00AD7489">
            <w:pPr>
              <w:rPr>
                <w:rFonts w:ascii="Garamond" w:hAnsi="Garamond"/>
              </w:rPr>
            </w:pPr>
            <w:r w:rsidRPr="00990078">
              <w:rPr>
                <w:rFonts w:ascii="Garamond" w:hAnsi="Garamond"/>
              </w:rPr>
              <w:t>Billing Specialist; Clinical Director</w:t>
            </w:r>
          </w:p>
        </w:tc>
        <w:tc>
          <w:tcPr>
            <w:tcW w:w="1290" w:type="dxa"/>
            <w:vAlign w:val="center"/>
            <w:hideMark/>
          </w:tcPr>
          <w:p w14:paraId="53945F41" w14:textId="77777777" w:rsidR="00AD7489" w:rsidRPr="00990078" w:rsidRDefault="00AD7489" w:rsidP="00AD7489">
            <w:pPr>
              <w:rPr>
                <w:rFonts w:ascii="Garamond" w:hAnsi="Garamond"/>
              </w:rPr>
            </w:pPr>
            <w:r w:rsidRPr="00990078">
              <w:rPr>
                <w:rFonts w:ascii="Garamond" w:hAnsi="Garamond"/>
              </w:rPr>
              <w:t>Analyze denial trends; identify recurring documentation issues; adjust training and checklist use; refine documentation processes to improve billing alignment</w:t>
            </w:r>
          </w:p>
        </w:tc>
      </w:tr>
      <w:tr w:rsidR="00AD7489" w:rsidRPr="00990078" w14:paraId="18A93283" w14:textId="77777777" w:rsidTr="00F00586">
        <w:trPr>
          <w:tblCellSpacing w:w="15" w:type="dxa"/>
        </w:trPr>
        <w:tc>
          <w:tcPr>
            <w:tcW w:w="0" w:type="auto"/>
            <w:vAlign w:val="center"/>
            <w:hideMark/>
          </w:tcPr>
          <w:p w14:paraId="59754DC2" w14:textId="77777777" w:rsidR="00AD7489" w:rsidRPr="00990078" w:rsidRDefault="00AD7489" w:rsidP="00AD7489">
            <w:pPr>
              <w:rPr>
                <w:rFonts w:ascii="Garamond" w:hAnsi="Garamond"/>
              </w:rPr>
            </w:pPr>
            <w:r w:rsidRPr="00990078">
              <w:rPr>
                <w:rFonts w:ascii="Garamond" w:hAnsi="Garamond"/>
              </w:rPr>
              <w:t xml:space="preserve">Improve staff adherence to standardized documentation checklist during </w:t>
            </w:r>
            <w:r w:rsidRPr="00990078">
              <w:rPr>
                <w:rFonts w:ascii="Garamond" w:hAnsi="Garamond"/>
              </w:rPr>
              <w:lastRenderedPageBreak/>
              <w:t>note conversion</w:t>
            </w:r>
          </w:p>
        </w:tc>
        <w:tc>
          <w:tcPr>
            <w:tcW w:w="0" w:type="auto"/>
            <w:vAlign w:val="center"/>
            <w:hideMark/>
          </w:tcPr>
          <w:p w14:paraId="0434E59F" w14:textId="77777777" w:rsidR="00AD7489" w:rsidRPr="00990078" w:rsidRDefault="00AD7489" w:rsidP="00AD7489">
            <w:pPr>
              <w:rPr>
                <w:rFonts w:ascii="Garamond" w:hAnsi="Garamond"/>
              </w:rPr>
            </w:pPr>
            <w:r w:rsidRPr="00990078">
              <w:rPr>
                <w:rFonts w:ascii="Garamond" w:hAnsi="Garamond"/>
              </w:rPr>
              <w:lastRenderedPageBreak/>
              <w:t xml:space="preserve">Checklist adherence rate (percentage of notes reflecting checklist use </w:t>
            </w:r>
            <w:r w:rsidRPr="00990078">
              <w:rPr>
                <w:rFonts w:ascii="Garamond" w:hAnsi="Garamond"/>
              </w:rPr>
              <w:lastRenderedPageBreak/>
              <w:t>and required elements)</w:t>
            </w:r>
          </w:p>
        </w:tc>
        <w:tc>
          <w:tcPr>
            <w:tcW w:w="0" w:type="auto"/>
            <w:vAlign w:val="center"/>
            <w:hideMark/>
          </w:tcPr>
          <w:p w14:paraId="7C59A594" w14:textId="77777777" w:rsidR="00AD7489" w:rsidRPr="00990078" w:rsidRDefault="00AD7489" w:rsidP="00AD7489">
            <w:pPr>
              <w:rPr>
                <w:rFonts w:ascii="Garamond" w:hAnsi="Garamond"/>
              </w:rPr>
            </w:pPr>
            <w:r w:rsidRPr="00990078">
              <w:rPr>
                <w:rFonts w:ascii="Garamond" w:hAnsi="Garamond"/>
              </w:rPr>
              <w:lastRenderedPageBreak/>
              <w:t>QA audit data; checklist review during audits</w:t>
            </w:r>
          </w:p>
        </w:tc>
        <w:tc>
          <w:tcPr>
            <w:tcW w:w="1563" w:type="dxa"/>
            <w:vAlign w:val="center"/>
            <w:hideMark/>
          </w:tcPr>
          <w:p w14:paraId="16320E09" w14:textId="77777777" w:rsidR="00AD7489" w:rsidRPr="00990078" w:rsidRDefault="00AD7489" w:rsidP="00AD7489">
            <w:pPr>
              <w:rPr>
                <w:rFonts w:ascii="Garamond" w:hAnsi="Garamond"/>
              </w:rPr>
            </w:pPr>
            <w:r w:rsidRPr="00990078">
              <w:rPr>
                <w:rFonts w:ascii="Garamond" w:hAnsi="Garamond"/>
              </w:rPr>
              <w:t>Monthly</w:t>
            </w:r>
          </w:p>
        </w:tc>
        <w:tc>
          <w:tcPr>
            <w:tcW w:w="1638" w:type="dxa"/>
            <w:vAlign w:val="center"/>
            <w:hideMark/>
          </w:tcPr>
          <w:p w14:paraId="19513F12" w14:textId="77777777" w:rsidR="00AD7489" w:rsidRPr="00990078" w:rsidRDefault="00AD7489" w:rsidP="00AD7489">
            <w:pPr>
              <w:rPr>
                <w:rFonts w:ascii="Garamond" w:hAnsi="Garamond"/>
              </w:rPr>
            </w:pPr>
            <w:r w:rsidRPr="00990078">
              <w:rPr>
                <w:rFonts w:ascii="Garamond" w:hAnsi="Garamond"/>
              </w:rPr>
              <w:t>QA Team; Supervising BCBAs</w:t>
            </w:r>
          </w:p>
        </w:tc>
        <w:tc>
          <w:tcPr>
            <w:tcW w:w="1290" w:type="dxa"/>
            <w:vAlign w:val="center"/>
            <w:hideMark/>
          </w:tcPr>
          <w:p w14:paraId="5CED5A2C" w14:textId="77777777" w:rsidR="00AD7489" w:rsidRPr="00990078" w:rsidRDefault="00AD7489" w:rsidP="00AD7489">
            <w:pPr>
              <w:rPr>
                <w:rFonts w:ascii="Garamond" w:hAnsi="Garamond"/>
              </w:rPr>
            </w:pPr>
            <w:r w:rsidRPr="00990078">
              <w:rPr>
                <w:rFonts w:ascii="Garamond" w:hAnsi="Garamond"/>
              </w:rPr>
              <w:t xml:space="preserve">Monitor fidelity of checklist implementation; provide coaching and </w:t>
            </w:r>
            <w:r w:rsidRPr="00990078">
              <w:rPr>
                <w:rFonts w:ascii="Garamond" w:hAnsi="Garamond"/>
              </w:rPr>
              <w:lastRenderedPageBreak/>
              <w:t>performance feedback; address barriers to checklist use; reinforce correct documentation practices</w:t>
            </w:r>
          </w:p>
        </w:tc>
      </w:tr>
      <w:tr w:rsidR="00AD7489" w:rsidRPr="00990078" w14:paraId="3E5E9FA5" w14:textId="77777777" w:rsidTr="00F00586">
        <w:trPr>
          <w:tblCellSpacing w:w="15" w:type="dxa"/>
        </w:trPr>
        <w:tc>
          <w:tcPr>
            <w:tcW w:w="0" w:type="auto"/>
            <w:vAlign w:val="center"/>
            <w:hideMark/>
          </w:tcPr>
          <w:p w14:paraId="2E038DFA" w14:textId="77777777" w:rsidR="00AD7489" w:rsidRPr="00990078" w:rsidRDefault="00AD7489" w:rsidP="00AD7489">
            <w:pPr>
              <w:rPr>
                <w:rFonts w:ascii="Garamond" w:hAnsi="Garamond"/>
              </w:rPr>
            </w:pPr>
            <w:r w:rsidRPr="00990078">
              <w:rPr>
                <w:rFonts w:ascii="Garamond" w:hAnsi="Garamond"/>
              </w:rPr>
              <w:t>Improve staff perceived usability and acceptability of the documentation process</w:t>
            </w:r>
          </w:p>
        </w:tc>
        <w:tc>
          <w:tcPr>
            <w:tcW w:w="0" w:type="auto"/>
            <w:vAlign w:val="center"/>
            <w:hideMark/>
          </w:tcPr>
          <w:p w14:paraId="596A871C" w14:textId="77777777" w:rsidR="00AD7489" w:rsidRPr="00990078" w:rsidRDefault="00AD7489" w:rsidP="00AD7489">
            <w:pPr>
              <w:rPr>
                <w:rFonts w:ascii="Garamond" w:hAnsi="Garamond"/>
              </w:rPr>
            </w:pPr>
            <w:r w:rsidRPr="00990078">
              <w:rPr>
                <w:rFonts w:ascii="Garamond" w:hAnsi="Garamond"/>
              </w:rPr>
              <w:t>Staff satisfaction and usability survey responses</w:t>
            </w:r>
          </w:p>
        </w:tc>
        <w:tc>
          <w:tcPr>
            <w:tcW w:w="0" w:type="auto"/>
            <w:vAlign w:val="center"/>
            <w:hideMark/>
          </w:tcPr>
          <w:p w14:paraId="66CE2E76" w14:textId="77777777" w:rsidR="00AD7489" w:rsidRPr="00990078" w:rsidRDefault="00AD7489" w:rsidP="00AD7489">
            <w:pPr>
              <w:rPr>
                <w:rFonts w:ascii="Garamond" w:hAnsi="Garamond"/>
              </w:rPr>
            </w:pPr>
            <w:r w:rsidRPr="00990078">
              <w:rPr>
                <w:rFonts w:ascii="Garamond" w:hAnsi="Garamond"/>
              </w:rPr>
              <w:t>Brief electronic staff survey</w:t>
            </w:r>
          </w:p>
        </w:tc>
        <w:tc>
          <w:tcPr>
            <w:tcW w:w="1563" w:type="dxa"/>
            <w:vAlign w:val="center"/>
            <w:hideMark/>
          </w:tcPr>
          <w:p w14:paraId="0ED95749" w14:textId="77777777" w:rsidR="00AD7489" w:rsidRPr="00990078" w:rsidRDefault="00AD7489" w:rsidP="00AD7489">
            <w:pPr>
              <w:rPr>
                <w:rFonts w:ascii="Garamond" w:hAnsi="Garamond"/>
              </w:rPr>
            </w:pPr>
            <w:r w:rsidRPr="00990078">
              <w:rPr>
                <w:rFonts w:ascii="Garamond" w:hAnsi="Garamond"/>
              </w:rPr>
              <w:t>At pilot phase and post-implementation</w:t>
            </w:r>
          </w:p>
        </w:tc>
        <w:tc>
          <w:tcPr>
            <w:tcW w:w="1638" w:type="dxa"/>
            <w:vAlign w:val="center"/>
            <w:hideMark/>
          </w:tcPr>
          <w:p w14:paraId="42F64D02" w14:textId="77777777" w:rsidR="00AD7489" w:rsidRPr="00990078" w:rsidRDefault="00AD7489" w:rsidP="00AD7489">
            <w:pPr>
              <w:rPr>
                <w:rFonts w:ascii="Garamond" w:hAnsi="Garamond"/>
              </w:rPr>
            </w:pPr>
            <w:r w:rsidRPr="00990078">
              <w:rPr>
                <w:rFonts w:ascii="Garamond" w:hAnsi="Garamond"/>
              </w:rPr>
              <w:t>Clinical Director; QA Team</w:t>
            </w:r>
          </w:p>
        </w:tc>
        <w:tc>
          <w:tcPr>
            <w:tcW w:w="1290" w:type="dxa"/>
            <w:vAlign w:val="center"/>
            <w:hideMark/>
          </w:tcPr>
          <w:p w14:paraId="7DF5161F" w14:textId="77777777" w:rsidR="00AD7489" w:rsidRPr="00990078" w:rsidRDefault="00AD7489" w:rsidP="00AD7489">
            <w:pPr>
              <w:rPr>
                <w:rFonts w:ascii="Garamond" w:hAnsi="Garamond"/>
              </w:rPr>
            </w:pPr>
            <w:r w:rsidRPr="00990078">
              <w:rPr>
                <w:rFonts w:ascii="Garamond" w:hAnsi="Garamond"/>
              </w:rPr>
              <w:t>Identify workflow challenges; refine checklist and EHR template; adjust training approach; improve usability and staff buy-in</w:t>
            </w:r>
          </w:p>
        </w:tc>
      </w:tr>
      <w:tr w:rsidR="00AD7489" w:rsidRPr="00990078" w14:paraId="05D22C4C" w14:textId="77777777" w:rsidTr="00F00586">
        <w:trPr>
          <w:tblCellSpacing w:w="15" w:type="dxa"/>
        </w:trPr>
        <w:tc>
          <w:tcPr>
            <w:tcW w:w="0" w:type="auto"/>
            <w:vAlign w:val="center"/>
            <w:hideMark/>
          </w:tcPr>
          <w:p w14:paraId="4F1F447F" w14:textId="77777777" w:rsidR="00AD7489" w:rsidRPr="00990078" w:rsidRDefault="00AD7489" w:rsidP="00AD7489">
            <w:pPr>
              <w:rPr>
                <w:rFonts w:ascii="Garamond" w:hAnsi="Garamond"/>
              </w:rPr>
            </w:pPr>
            <w:r w:rsidRPr="00990078">
              <w:rPr>
                <w:rFonts w:ascii="Garamond" w:hAnsi="Garamond"/>
              </w:rPr>
              <w:t>Ensure timely completion and finalization of session notes (within 24 hours)</w:t>
            </w:r>
          </w:p>
        </w:tc>
        <w:tc>
          <w:tcPr>
            <w:tcW w:w="0" w:type="auto"/>
            <w:vAlign w:val="center"/>
            <w:hideMark/>
          </w:tcPr>
          <w:p w14:paraId="7D93A7E1" w14:textId="77777777" w:rsidR="00AD7489" w:rsidRPr="00990078" w:rsidRDefault="00AD7489" w:rsidP="00AD7489">
            <w:pPr>
              <w:rPr>
                <w:rFonts w:ascii="Garamond" w:hAnsi="Garamond"/>
              </w:rPr>
            </w:pPr>
            <w:r w:rsidRPr="00990078">
              <w:rPr>
                <w:rFonts w:ascii="Garamond" w:hAnsi="Garamond"/>
              </w:rPr>
              <w:t>Percentage of notes finalized within required timeframe</w:t>
            </w:r>
          </w:p>
        </w:tc>
        <w:tc>
          <w:tcPr>
            <w:tcW w:w="0" w:type="auto"/>
            <w:vAlign w:val="center"/>
            <w:hideMark/>
          </w:tcPr>
          <w:p w14:paraId="249C6A96" w14:textId="77777777" w:rsidR="00AD7489" w:rsidRPr="00990078" w:rsidRDefault="00AD7489" w:rsidP="00AD7489">
            <w:pPr>
              <w:rPr>
                <w:rFonts w:ascii="Garamond" w:hAnsi="Garamond"/>
              </w:rPr>
            </w:pPr>
            <w:proofErr w:type="spellStart"/>
            <w:r w:rsidRPr="00990078">
              <w:rPr>
                <w:rFonts w:ascii="Garamond" w:hAnsi="Garamond"/>
              </w:rPr>
              <w:t>CentralReach</w:t>
            </w:r>
            <w:proofErr w:type="spellEnd"/>
            <w:r w:rsidRPr="00990078">
              <w:rPr>
                <w:rFonts w:ascii="Garamond" w:hAnsi="Garamond"/>
              </w:rPr>
              <w:t xml:space="preserve"> time-stamp data; QA audit review</w:t>
            </w:r>
          </w:p>
        </w:tc>
        <w:tc>
          <w:tcPr>
            <w:tcW w:w="1563" w:type="dxa"/>
            <w:vAlign w:val="center"/>
            <w:hideMark/>
          </w:tcPr>
          <w:p w14:paraId="1FB1BC1C" w14:textId="77777777" w:rsidR="00AD7489" w:rsidRPr="00990078" w:rsidRDefault="00AD7489" w:rsidP="00AD7489">
            <w:pPr>
              <w:rPr>
                <w:rFonts w:ascii="Garamond" w:hAnsi="Garamond"/>
              </w:rPr>
            </w:pPr>
            <w:r w:rsidRPr="00990078">
              <w:rPr>
                <w:rFonts w:ascii="Garamond" w:hAnsi="Garamond"/>
              </w:rPr>
              <w:t>Monthly</w:t>
            </w:r>
          </w:p>
        </w:tc>
        <w:tc>
          <w:tcPr>
            <w:tcW w:w="1638" w:type="dxa"/>
            <w:vAlign w:val="center"/>
            <w:hideMark/>
          </w:tcPr>
          <w:p w14:paraId="008A39D2" w14:textId="77777777" w:rsidR="00AD7489" w:rsidRPr="00990078" w:rsidRDefault="00AD7489" w:rsidP="00AD7489">
            <w:pPr>
              <w:rPr>
                <w:rFonts w:ascii="Garamond" w:hAnsi="Garamond"/>
              </w:rPr>
            </w:pPr>
            <w:r w:rsidRPr="00990078">
              <w:rPr>
                <w:rFonts w:ascii="Garamond" w:hAnsi="Garamond"/>
              </w:rPr>
              <w:t>QA Team; Clinical Director</w:t>
            </w:r>
          </w:p>
        </w:tc>
        <w:tc>
          <w:tcPr>
            <w:tcW w:w="1290" w:type="dxa"/>
            <w:vAlign w:val="center"/>
            <w:hideMark/>
          </w:tcPr>
          <w:p w14:paraId="51D8D0E1" w14:textId="77777777" w:rsidR="00AD7489" w:rsidRPr="00990078" w:rsidRDefault="00AD7489" w:rsidP="00AD7489">
            <w:pPr>
              <w:rPr>
                <w:rFonts w:ascii="Garamond" w:hAnsi="Garamond"/>
              </w:rPr>
            </w:pPr>
            <w:r w:rsidRPr="00990078">
              <w:rPr>
                <w:rFonts w:ascii="Garamond" w:hAnsi="Garamond"/>
              </w:rPr>
              <w:t>Identify delays in documentation completion; provide feedback to staff; reinforce expectations for timely note finalization; address workflow inefficiencies</w:t>
            </w:r>
          </w:p>
        </w:tc>
      </w:tr>
    </w:tbl>
    <w:p w14:paraId="5F61C420" w14:textId="77777777" w:rsidR="00F00586" w:rsidRPr="00990078" w:rsidRDefault="00F00586" w:rsidP="00AD7489">
      <w:pPr>
        <w:rPr>
          <w:rFonts w:ascii="Garamond" w:hAnsi="Garamond"/>
          <w:b/>
          <w:bCs/>
        </w:rPr>
      </w:pPr>
    </w:p>
    <w:p w14:paraId="5F8A58B9" w14:textId="77777777" w:rsidR="00F00586" w:rsidRPr="00990078" w:rsidRDefault="00F00586">
      <w:pPr>
        <w:rPr>
          <w:rFonts w:ascii="Garamond" w:hAnsi="Garamond"/>
          <w:b/>
          <w:bCs/>
        </w:rPr>
      </w:pPr>
      <w:r w:rsidRPr="00990078">
        <w:rPr>
          <w:rFonts w:ascii="Garamond" w:hAnsi="Garamond"/>
          <w:b/>
          <w:bCs/>
        </w:rPr>
        <w:br w:type="page"/>
      </w:r>
    </w:p>
    <w:p w14:paraId="7425011D" w14:textId="44ADEDD8" w:rsidR="00AD7489" w:rsidRPr="00990078" w:rsidRDefault="00AD7489" w:rsidP="00F04DDE">
      <w:pPr>
        <w:pStyle w:val="Heading1"/>
        <w:jc w:val="center"/>
        <w:rPr>
          <w:rFonts w:ascii="Garamond" w:hAnsi="Garamond" w:cs="Times New Roman"/>
          <w:b/>
          <w:bCs/>
          <w:color w:val="auto"/>
          <w:sz w:val="24"/>
          <w:szCs w:val="24"/>
        </w:rPr>
      </w:pPr>
      <w:bookmarkStart w:id="51" w:name="_Toc228175337"/>
      <w:r w:rsidRPr="00990078">
        <w:rPr>
          <w:rFonts w:ascii="Garamond" w:hAnsi="Garamond" w:cs="Times New Roman"/>
          <w:b/>
          <w:bCs/>
          <w:color w:val="auto"/>
          <w:sz w:val="24"/>
          <w:szCs w:val="24"/>
        </w:rPr>
        <w:lastRenderedPageBreak/>
        <w:t>Appendix F</w:t>
      </w:r>
      <w:bookmarkEnd w:id="51"/>
    </w:p>
    <w:p w14:paraId="4AA8A75A" w14:textId="77777777" w:rsidR="00AD7489" w:rsidRPr="00990078" w:rsidRDefault="00AD7489" w:rsidP="00F00586">
      <w:pPr>
        <w:jc w:val="center"/>
        <w:rPr>
          <w:rFonts w:ascii="Garamond" w:hAnsi="Garamond" w:cs="Times New Roman"/>
          <w:b/>
          <w:bCs/>
        </w:rPr>
      </w:pPr>
      <w:r w:rsidRPr="00990078">
        <w:rPr>
          <w:rFonts w:ascii="Garamond" w:hAnsi="Garamond" w:cs="Times New Roman"/>
          <w:b/>
          <w:bCs/>
        </w:rPr>
        <w:t>Data Collection Tools and Measures</w:t>
      </w:r>
    </w:p>
    <w:p w14:paraId="77A83A03" w14:textId="77777777" w:rsidR="00F00586" w:rsidRPr="00990078" w:rsidRDefault="00F00586" w:rsidP="00AD7489">
      <w:pPr>
        <w:jc w:val="center"/>
        <w:rPr>
          <w:rFonts w:ascii="Garamond" w:hAnsi="Garamond" w:cs="Times New Roman"/>
          <w:b/>
          <w:bCs/>
        </w:rPr>
      </w:pPr>
    </w:p>
    <w:p w14:paraId="4560DDEF" w14:textId="39F49942" w:rsidR="00AD7489" w:rsidRPr="00990078" w:rsidRDefault="00AD7489" w:rsidP="00AD7489">
      <w:pPr>
        <w:jc w:val="center"/>
        <w:rPr>
          <w:rFonts w:ascii="Garamond" w:hAnsi="Garamond" w:cs="Times New Roman"/>
          <w:lang w:val="fr-FR"/>
        </w:rPr>
      </w:pPr>
      <w:r w:rsidRPr="00990078">
        <w:rPr>
          <w:rFonts w:ascii="Garamond" w:hAnsi="Garamond" w:cs="Times New Roman"/>
          <w:b/>
          <w:bCs/>
          <w:lang w:val="fr-FR"/>
        </w:rPr>
        <w:t>Documentation Compliance Audit Tool (DCAT)</w:t>
      </w:r>
    </w:p>
    <w:p w14:paraId="302EF58A" w14:textId="77777777" w:rsidR="00AD7489" w:rsidRPr="00990078" w:rsidRDefault="00AD7489" w:rsidP="00AD7489">
      <w:pPr>
        <w:rPr>
          <w:rFonts w:ascii="Garamond" w:hAnsi="Garamond" w:cs="Times New Roman"/>
        </w:rPr>
      </w:pPr>
      <w:r w:rsidRPr="00990078">
        <w:rPr>
          <w:rFonts w:ascii="Garamond" w:hAnsi="Garamond" w:cs="Times New Roman"/>
          <w:b/>
          <w:bCs/>
        </w:rPr>
        <w:t>Purpose</w:t>
      </w:r>
      <w:r w:rsidRPr="00990078">
        <w:rPr>
          <w:rFonts w:ascii="Garamond" w:hAnsi="Garamond" w:cs="Times New Roman"/>
        </w:rPr>
        <w:br/>
        <w:t>The Documentation Compliance Audit Tool (DCAT) is designed to evaluate the accuracy, completeness, and adherence of Applied Behavior Analysis (ABA) session notes to Medicaid documentation requirements. The tool assesses required elements of documentation to ensure compliance with payer and regulatory standards, reduce claim denials, and support quality assurance across service sites.</w:t>
      </w:r>
    </w:p>
    <w:p w14:paraId="148E6F33" w14:textId="77777777" w:rsidR="00AD7489" w:rsidRPr="00990078" w:rsidRDefault="00AD7489" w:rsidP="00AD7489">
      <w:pPr>
        <w:rPr>
          <w:rFonts w:ascii="Garamond" w:hAnsi="Garamond" w:cs="Times New Roman"/>
        </w:rPr>
      </w:pPr>
      <w:r w:rsidRPr="00990078">
        <w:rPr>
          <w:rFonts w:ascii="Garamond" w:hAnsi="Garamond" w:cs="Times New Roman"/>
          <w:b/>
          <w:bCs/>
        </w:rPr>
        <w:t>Description</w:t>
      </w:r>
      <w:r w:rsidRPr="00990078">
        <w:rPr>
          <w:rFonts w:ascii="Garamond" w:hAnsi="Garamond" w:cs="Times New Roman"/>
        </w:rPr>
        <w:br/>
        <w:t xml:space="preserve">The DCAT consists of 20 items representing required Medicaid documentation components. Each element is rated dichotomously as </w:t>
      </w:r>
      <w:r w:rsidRPr="00990078">
        <w:rPr>
          <w:rFonts w:ascii="Garamond" w:hAnsi="Garamond" w:cs="Times New Roman"/>
          <w:b/>
          <w:bCs/>
        </w:rPr>
        <w:t>1 = Compliant</w:t>
      </w:r>
      <w:r w:rsidRPr="00990078">
        <w:rPr>
          <w:rFonts w:ascii="Garamond" w:hAnsi="Garamond" w:cs="Times New Roman"/>
        </w:rPr>
        <w:t xml:space="preserve"> or </w:t>
      </w:r>
      <w:r w:rsidRPr="00990078">
        <w:rPr>
          <w:rFonts w:ascii="Garamond" w:hAnsi="Garamond" w:cs="Times New Roman"/>
          <w:b/>
          <w:bCs/>
        </w:rPr>
        <w:t>0 = Noncompliant</w:t>
      </w:r>
      <w:r w:rsidRPr="00990078">
        <w:rPr>
          <w:rFonts w:ascii="Garamond" w:hAnsi="Garamond" w:cs="Times New Roman"/>
        </w:rPr>
        <w:t>. The total compliance percentage is calculated using the following formula:</w:t>
      </w:r>
    </w:p>
    <w:p w14:paraId="374CB69E" w14:textId="77777777" w:rsidR="00AD7489" w:rsidRPr="00990078" w:rsidRDefault="00AD7489" w:rsidP="00AD7489">
      <w:pPr>
        <w:rPr>
          <w:rFonts w:ascii="Garamond" w:hAnsi="Garamond" w:cs="Times New Roman"/>
          <w:lang w:val="fr-FR"/>
        </w:rPr>
      </w:pPr>
      <m:oMathPara>
        <m:oMath>
          <m:r>
            <m:rPr>
              <m:nor/>
            </m:rPr>
            <w:rPr>
              <w:rFonts w:ascii="Garamond" w:hAnsi="Garamond" w:cs="Times New Roman"/>
              <w:lang w:val="fr-FR"/>
            </w:rPr>
            <m:t>Total Compliant Items</m:t>
          </m:r>
          <m:r>
            <w:rPr>
              <w:rFonts w:ascii="Cambria Math" w:hAnsi="Cambria Math" w:cs="Times New Roman"/>
              <w:lang w:val="fr-FR"/>
            </w:rPr>
            <m:t>÷20×100=</m:t>
          </m:r>
          <m:r>
            <m:rPr>
              <m:nor/>
            </m:rPr>
            <w:rPr>
              <w:rFonts w:ascii="Garamond" w:hAnsi="Garamond" w:cs="Times New Roman"/>
              <w:lang w:val="fr-FR"/>
            </w:rPr>
            <m:t>Documentation Compliance Percentage.</m:t>
          </m:r>
        </m:oMath>
      </m:oMathPara>
    </w:p>
    <w:p w14:paraId="1506A2FE" w14:textId="77777777" w:rsidR="00AD7489" w:rsidRPr="00990078" w:rsidRDefault="00AD7489" w:rsidP="00AD7489">
      <w:pPr>
        <w:rPr>
          <w:rFonts w:ascii="Garamond" w:hAnsi="Garamond" w:cs="Times New Roman"/>
        </w:rPr>
      </w:pPr>
      <w:r w:rsidRPr="00990078">
        <w:rPr>
          <w:rFonts w:ascii="Garamond" w:hAnsi="Garamond" w:cs="Times New Roman"/>
          <w:b/>
          <w:bCs/>
        </w:rPr>
        <w:t>Scoring and Interpretation</w:t>
      </w:r>
    </w:p>
    <w:p w14:paraId="3AA7AAB6" w14:textId="77777777" w:rsidR="00AD7489" w:rsidRPr="00990078" w:rsidRDefault="00AD7489" w:rsidP="00AD7489">
      <w:pPr>
        <w:numPr>
          <w:ilvl w:val="0"/>
          <w:numId w:val="8"/>
        </w:numPr>
        <w:spacing w:after="0" w:line="276" w:lineRule="auto"/>
        <w:rPr>
          <w:rFonts w:ascii="Garamond" w:hAnsi="Garamond" w:cs="Times New Roman"/>
        </w:rPr>
      </w:pPr>
      <w:r w:rsidRPr="00990078">
        <w:rPr>
          <w:rFonts w:ascii="Garamond" w:hAnsi="Garamond" w:cs="Times New Roman"/>
          <w:b/>
          <w:bCs/>
        </w:rPr>
        <w:t>≥ 90%:</w:t>
      </w:r>
      <w:r w:rsidRPr="00990078">
        <w:rPr>
          <w:rFonts w:ascii="Garamond" w:hAnsi="Garamond" w:cs="Times New Roman"/>
        </w:rPr>
        <w:t xml:space="preserve"> Meets compliance standard</w:t>
      </w:r>
    </w:p>
    <w:p w14:paraId="4D4CEA0C" w14:textId="77777777" w:rsidR="00AD7489" w:rsidRPr="00990078" w:rsidRDefault="00AD7489" w:rsidP="00AD7489">
      <w:pPr>
        <w:numPr>
          <w:ilvl w:val="0"/>
          <w:numId w:val="8"/>
        </w:numPr>
        <w:spacing w:after="0" w:line="276" w:lineRule="auto"/>
        <w:rPr>
          <w:rFonts w:ascii="Garamond" w:hAnsi="Garamond" w:cs="Times New Roman"/>
        </w:rPr>
      </w:pPr>
      <w:r w:rsidRPr="00990078">
        <w:rPr>
          <w:rFonts w:ascii="Garamond" w:hAnsi="Garamond" w:cs="Times New Roman"/>
          <w:b/>
          <w:bCs/>
        </w:rPr>
        <w:t>80–89%:</w:t>
      </w:r>
      <w:r w:rsidRPr="00990078">
        <w:rPr>
          <w:rFonts w:ascii="Garamond" w:hAnsi="Garamond" w:cs="Times New Roman"/>
        </w:rPr>
        <w:t xml:space="preserve"> Requires targeted feedback</w:t>
      </w:r>
    </w:p>
    <w:p w14:paraId="1ABBB7B6" w14:textId="77777777" w:rsidR="00AD7489" w:rsidRPr="00990078" w:rsidRDefault="00AD7489" w:rsidP="00AD7489">
      <w:pPr>
        <w:numPr>
          <w:ilvl w:val="0"/>
          <w:numId w:val="8"/>
        </w:numPr>
        <w:spacing w:after="0" w:line="276" w:lineRule="auto"/>
        <w:rPr>
          <w:rFonts w:ascii="Garamond" w:hAnsi="Garamond" w:cs="Times New Roman"/>
        </w:rPr>
      </w:pPr>
      <w:r w:rsidRPr="00990078">
        <w:rPr>
          <w:rFonts w:ascii="Garamond" w:hAnsi="Garamond" w:cs="Times New Roman"/>
          <w:b/>
          <w:bCs/>
        </w:rPr>
        <w:t>&lt; 80%:</w:t>
      </w:r>
      <w:r w:rsidRPr="00990078">
        <w:rPr>
          <w:rFonts w:ascii="Garamond" w:hAnsi="Garamond" w:cs="Times New Roman"/>
        </w:rPr>
        <w:t xml:space="preserve"> Noncompliant; retraining recommended</w:t>
      </w:r>
    </w:p>
    <w:p w14:paraId="2E83836E" w14:textId="77777777" w:rsidR="00AD7489" w:rsidRPr="00990078" w:rsidRDefault="00AD7489" w:rsidP="00AD7489">
      <w:pPr>
        <w:rPr>
          <w:rFonts w:ascii="Garamond" w:hAnsi="Garamond" w:cs="Times New Roman"/>
        </w:rPr>
      </w:pPr>
      <w:r w:rsidRPr="00990078">
        <w:rPr>
          <w:rFonts w:ascii="Garamond" w:hAnsi="Garamond" w:cs="Times New Roman"/>
          <w:b/>
          <w:bCs/>
        </w:rPr>
        <w:t>Administration</w:t>
      </w:r>
      <w:r w:rsidRPr="00990078">
        <w:rPr>
          <w:rFonts w:ascii="Garamond" w:hAnsi="Garamond" w:cs="Times New Roman"/>
        </w:rPr>
        <w:br/>
        <w:t>The Quality Assurance (QA) team and Billing Specialist will complete monthly audits of 10% of Medicaid-funded ABA session notes using the DCAT. Scores will be compiled in a secure, password-protected Excel database and reviewed by the Clinical Director during quality improvement meetings to identify trends and guide retraining needs.</w:t>
      </w:r>
    </w:p>
    <w:p w14:paraId="0655E34A" w14:textId="77777777" w:rsidR="00AD7489" w:rsidRPr="00990078" w:rsidRDefault="00AD7489" w:rsidP="00AD7489">
      <w:pPr>
        <w:rPr>
          <w:rFonts w:ascii="Garamond" w:hAnsi="Garamond" w:cs="Times New Roman"/>
          <w:b/>
          <w:bCs/>
          <w:lang w:val="fr-FR"/>
        </w:rPr>
      </w:pPr>
      <w:r w:rsidRPr="00990078">
        <w:rPr>
          <w:rFonts w:ascii="Garamond" w:hAnsi="Garamond" w:cs="Times New Roman"/>
          <w:b/>
          <w:bCs/>
          <w:lang w:val="fr-FR"/>
        </w:rPr>
        <w:t>Documentation Compliance Audit Tool (Sample)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3676"/>
        <w:gridCol w:w="3928"/>
        <w:gridCol w:w="1165"/>
      </w:tblGrid>
      <w:tr w:rsidR="00AD7489" w:rsidRPr="00990078" w14:paraId="6A6989AB" w14:textId="77777777" w:rsidTr="00D53CC6">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FD3692" w14:textId="77777777" w:rsidR="00AD7489" w:rsidRPr="00990078" w:rsidRDefault="00AD7489" w:rsidP="00D53CC6">
            <w:pPr>
              <w:rPr>
                <w:rFonts w:ascii="Garamond" w:hAnsi="Garamond" w:cs="Times New Roman"/>
                <w:b/>
                <w:bCs/>
              </w:rPr>
            </w:pPr>
            <w:r w:rsidRPr="00990078">
              <w:rPr>
                <w:rFonts w:ascii="Garamond" w:hAnsi="Garamond" w:cs="Times New Roman"/>
                <w:b/>
                <w:bCs/>
              </w:rPr>
              <w:t>Item</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234AB8" w14:textId="77777777" w:rsidR="00AD7489" w:rsidRPr="00990078" w:rsidRDefault="00AD7489" w:rsidP="00D53CC6">
            <w:pPr>
              <w:rPr>
                <w:rFonts w:ascii="Garamond" w:hAnsi="Garamond" w:cs="Times New Roman"/>
                <w:b/>
                <w:bCs/>
              </w:rPr>
            </w:pPr>
            <w:r w:rsidRPr="00990078">
              <w:rPr>
                <w:rFonts w:ascii="Garamond" w:hAnsi="Garamond" w:cs="Times New Roman"/>
                <w:b/>
                <w:bCs/>
              </w:rPr>
              <w:t>Documentation Element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F639DA" w14:textId="77777777" w:rsidR="00AD7489" w:rsidRPr="00990078" w:rsidRDefault="00AD7489" w:rsidP="00D53CC6">
            <w:pPr>
              <w:rPr>
                <w:rFonts w:ascii="Garamond" w:hAnsi="Garamond" w:cs="Times New Roman"/>
                <w:b/>
                <w:bCs/>
              </w:rPr>
            </w:pPr>
            <w:r w:rsidRPr="00990078">
              <w:rPr>
                <w:rFonts w:ascii="Garamond" w:hAnsi="Garamond" w:cs="Times New Roman"/>
                <w:b/>
                <w:bCs/>
              </w:rPr>
              <w:t>Criteria for Compliance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164533" w14:textId="77777777" w:rsidR="00AD7489" w:rsidRPr="00990078" w:rsidRDefault="00AD7489" w:rsidP="00D53CC6">
            <w:pPr>
              <w:rPr>
                <w:rFonts w:ascii="Garamond" w:hAnsi="Garamond" w:cs="Times New Roman"/>
                <w:b/>
                <w:bCs/>
              </w:rPr>
            </w:pPr>
            <w:r w:rsidRPr="00990078">
              <w:rPr>
                <w:rFonts w:ascii="Garamond" w:hAnsi="Garamond" w:cs="Times New Roman"/>
                <w:b/>
                <w:bCs/>
              </w:rPr>
              <w:t>Score (1 or 0)</w:t>
            </w:r>
          </w:p>
        </w:tc>
      </w:tr>
      <w:tr w:rsidR="00AD7489" w:rsidRPr="00990078" w14:paraId="262D4408"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D364A6" w14:textId="77777777" w:rsidR="00AD7489" w:rsidRPr="00990078" w:rsidRDefault="00AD7489" w:rsidP="00D53CC6">
            <w:pPr>
              <w:rPr>
                <w:rFonts w:ascii="Garamond" w:hAnsi="Garamond" w:cs="Times New Roman"/>
              </w:rPr>
            </w:pPr>
            <w:r w:rsidRPr="00990078">
              <w:rPr>
                <w:rFonts w:ascii="Garamond" w:hAnsi="Garamond" w:cs="Times New Roman"/>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C913FD" w14:textId="77777777" w:rsidR="00AD7489" w:rsidRPr="00990078" w:rsidRDefault="00AD7489" w:rsidP="00D53CC6">
            <w:pPr>
              <w:rPr>
                <w:rFonts w:ascii="Garamond" w:hAnsi="Garamond" w:cs="Times New Roman"/>
              </w:rPr>
            </w:pPr>
            <w:r w:rsidRPr="00990078">
              <w:rPr>
                <w:rFonts w:ascii="Garamond" w:hAnsi="Garamond" w:cs="Times New Roman"/>
              </w:rPr>
              <w:t>Session date recorded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10A919" w14:textId="77777777" w:rsidR="00AD7489" w:rsidRPr="00990078" w:rsidRDefault="00AD7489" w:rsidP="00D53CC6">
            <w:pPr>
              <w:rPr>
                <w:rFonts w:ascii="Garamond" w:hAnsi="Garamond" w:cs="Times New Roman"/>
              </w:rPr>
            </w:pPr>
            <w:r w:rsidRPr="00990078">
              <w:rPr>
                <w:rFonts w:ascii="Garamond" w:hAnsi="Garamond" w:cs="Times New Roman"/>
              </w:rPr>
              <w:t xml:space="preserve">Matches scheduled service date in </w:t>
            </w:r>
            <w:proofErr w:type="spellStart"/>
            <w:r w:rsidRPr="00990078">
              <w:rPr>
                <w:rFonts w:ascii="Garamond" w:hAnsi="Garamond" w:cs="Times New Roman"/>
              </w:rPr>
              <w:t>CentralReach</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341C44" w14:textId="77777777" w:rsidR="00AD7489" w:rsidRPr="00990078" w:rsidRDefault="00AD7489" w:rsidP="00D53CC6">
            <w:pPr>
              <w:rPr>
                <w:rFonts w:ascii="Garamond" w:hAnsi="Garamond" w:cs="Times New Roman"/>
              </w:rPr>
            </w:pPr>
          </w:p>
        </w:tc>
      </w:tr>
      <w:tr w:rsidR="00AD7489" w:rsidRPr="00990078" w14:paraId="35476A38"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97ACF7" w14:textId="77777777" w:rsidR="00AD7489" w:rsidRPr="00990078" w:rsidRDefault="00AD7489" w:rsidP="00D53CC6">
            <w:pPr>
              <w:rPr>
                <w:rFonts w:ascii="Garamond" w:hAnsi="Garamond" w:cs="Times New Roman"/>
              </w:rPr>
            </w:pPr>
            <w:r w:rsidRPr="00990078">
              <w:rPr>
                <w:rFonts w:ascii="Garamond" w:hAnsi="Garamond" w:cs="Times New Roman"/>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D35334" w14:textId="77777777" w:rsidR="00AD7489" w:rsidRPr="00990078" w:rsidRDefault="00AD7489" w:rsidP="00D53CC6">
            <w:pPr>
              <w:rPr>
                <w:rFonts w:ascii="Garamond" w:hAnsi="Garamond" w:cs="Times New Roman"/>
              </w:rPr>
            </w:pPr>
            <w:r w:rsidRPr="00990078">
              <w:rPr>
                <w:rFonts w:ascii="Garamond" w:hAnsi="Garamond" w:cs="Times New Roman"/>
              </w:rPr>
              <w:t xml:space="preserve">Session </w:t>
            </w:r>
            <w:proofErr w:type="gramStart"/>
            <w:r w:rsidRPr="00990078">
              <w:rPr>
                <w:rFonts w:ascii="Garamond" w:hAnsi="Garamond" w:cs="Times New Roman"/>
              </w:rPr>
              <w:t>start</w:t>
            </w:r>
            <w:proofErr w:type="gramEnd"/>
            <w:r w:rsidRPr="00990078">
              <w:rPr>
                <w:rFonts w:ascii="Garamond" w:hAnsi="Garamond" w:cs="Times New Roman"/>
              </w:rPr>
              <w:t xml:space="preserve"> and end times documented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2BB2B5" w14:textId="77777777" w:rsidR="00AD7489" w:rsidRPr="00990078" w:rsidRDefault="00AD7489" w:rsidP="00D53CC6">
            <w:pPr>
              <w:rPr>
                <w:rFonts w:ascii="Garamond" w:hAnsi="Garamond" w:cs="Times New Roman"/>
              </w:rPr>
            </w:pPr>
            <w:r w:rsidRPr="00990078">
              <w:rPr>
                <w:rFonts w:ascii="Garamond" w:hAnsi="Garamond" w:cs="Times New Roman"/>
              </w:rPr>
              <w:t>Accurate within 5 minutes of schedule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7381CD" w14:textId="77777777" w:rsidR="00AD7489" w:rsidRPr="00990078" w:rsidRDefault="00AD7489" w:rsidP="00D53CC6">
            <w:pPr>
              <w:rPr>
                <w:rFonts w:ascii="Garamond" w:hAnsi="Garamond" w:cs="Times New Roman"/>
              </w:rPr>
            </w:pPr>
          </w:p>
        </w:tc>
      </w:tr>
      <w:tr w:rsidR="00AD7489" w:rsidRPr="00990078" w14:paraId="6372FC6D"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C2AA88" w14:textId="77777777" w:rsidR="00AD7489" w:rsidRPr="00990078" w:rsidRDefault="00AD7489" w:rsidP="00D53CC6">
            <w:pPr>
              <w:rPr>
                <w:rFonts w:ascii="Garamond" w:hAnsi="Garamond" w:cs="Times New Roman"/>
              </w:rPr>
            </w:pPr>
            <w:r w:rsidRPr="00990078">
              <w:rPr>
                <w:rFonts w:ascii="Garamond" w:hAnsi="Garamond" w:cs="Times New Roman"/>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14E21F" w14:textId="77777777" w:rsidR="00AD7489" w:rsidRPr="00990078" w:rsidRDefault="00AD7489" w:rsidP="00D53CC6">
            <w:pPr>
              <w:rPr>
                <w:rFonts w:ascii="Garamond" w:hAnsi="Garamond" w:cs="Times New Roman"/>
              </w:rPr>
            </w:pPr>
            <w:r w:rsidRPr="00990078">
              <w:rPr>
                <w:rFonts w:ascii="Garamond" w:hAnsi="Garamond" w:cs="Times New Roman"/>
              </w:rPr>
              <w:t>Service location specified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339A60" w14:textId="77777777" w:rsidR="00AD7489" w:rsidRPr="00990078" w:rsidRDefault="00AD7489" w:rsidP="00D53CC6">
            <w:pPr>
              <w:rPr>
                <w:rFonts w:ascii="Garamond" w:hAnsi="Garamond" w:cs="Times New Roman"/>
              </w:rPr>
            </w:pPr>
            <w:r w:rsidRPr="00990078">
              <w:rPr>
                <w:rFonts w:ascii="Garamond" w:hAnsi="Garamond" w:cs="Times New Roman"/>
              </w:rPr>
              <w:t>Clinic, home, or school indicated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B629EC" w14:textId="77777777" w:rsidR="00AD7489" w:rsidRPr="00990078" w:rsidRDefault="00AD7489" w:rsidP="00D53CC6">
            <w:pPr>
              <w:rPr>
                <w:rFonts w:ascii="Garamond" w:hAnsi="Garamond" w:cs="Times New Roman"/>
              </w:rPr>
            </w:pPr>
          </w:p>
        </w:tc>
      </w:tr>
      <w:tr w:rsidR="00AD7489" w:rsidRPr="00990078" w14:paraId="63753E3B"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4ADC8E" w14:textId="77777777" w:rsidR="00AD7489" w:rsidRPr="00990078" w:rsidRDefault="00AD7489" w:rsidP="00D53CC6">
            <w:pPr>
              <w:rPr>
                <w:rFonts w:ascii="Garamond" w:hAnsi="Garamond" w:cs="Times New Roman"/>
              </w:rPr>
            </w:pPr>
            <w:r w:rsidRPr="00990078">
              <w:rPr>
                <w:rFonts w:ascii="Garamond" w:hAnsi="Garamond" w:cs="Times New Roman"/>
              </w:rPr>
              <w:lastRenderedPageBreak/>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FC1032" w14:textId="77777777" w:rsidR="00AD7489" w:rsidRPr="00990078" w:rsidRDefault="00AD7489" w:rsidP="00D53CC6">
            <w:pPr>
              <w:rPr>
                <w:rFonts w:ascii="Garamond" w:hAnsi="Garamond" w:cs="Times New Roman"/>
              </w:rPr>
            </w:pPr>
            <w:r w:rsidRPr="00990078">
              <w:rPr>
                <w:rFonts w:ascii="Garamond" w:hAnsi="Garamond" w:cs="Times New Roman"/>
              </w:rPr>
              <w:t>CPT code entered correctly</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063B7D" w14:textId="77777777" w:rsidR="00AD7489" w:rsidRPr="00990078" w:rsidRDefault="00AD7489" w:rsidP="00D53CC6">
            <w:pPr>
              <w:rPr>
                <w:rFonts w:ascii="Garamond" w:hAnsi="Garamond" w:cs="Times New Roman"/>
              </w:rPr>
            </w:pPr>
            <w:r w:rsidRPr="00990078">
              <w:rPr>
                <w:rFonts w:ascii="Garamond" w:hAnsi="Garamond" w:cs="Times New Roman"/>
              </w:rPr>
              <w:t>Matches service type and provider credentials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24DE69" w14:textId="77777777" w:rsidR="00AD7489" w:rsidRPr="00990078" w:rsidRDefault="00AD7489" w:rsidP="00D53CC6">
            <w:pPr>
              <w:rPr>
                <w:rFonts w:ascii="Garamond" w:hAnsi="Garamond" w:cs="Times New Roman"/>
              </w:rPr>
            </w:pPr>
          </w:p>
        </w:tc>
      </w:tr>
      <w:tr w:rsidR="00AD7489" w:rsidRPr="00990078" w14:paraId="4635647F"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E14057" w14:textId="77777777" w:rsidR="00AD7489" w:rsidRPr="00990078" w:rsidRDefault="00AD7489" w:rsidP="00D53CC6">
            <w:pPr>
              <w:rPr>
                <w:rFonts w:ascii="Garamond" w:hAnsi="Garamond" w:cs="Times New Roman"/>
              </w:rPr>
            </w:pPr>
            <w:r w:rsidRPr="00990078">
              <w:rPr>
                <w:rFonts w:ascii="Garamond" w:hAnsi="Garamond" w:cs="Times New Roman"/>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6E1A75" w14:textId="77777777" w:rsidR="00AD7489" w:rsidRPr="00990078" w:rsidRDefault="00AD7489" w:rsidP="00D53CC6">
            <w:pPr>
              <w:rPr>
                <w:rFonts w:ascii="Garamond" w:hAnsi="Garamond" w:cs="Times New Roman"/>
              </w:rPr>
            </w:pPr>
            <w:r w:rsidRPr="00990078">
              <w:rPr>
                <w:rFonts w:ascii="Garamond" w:hAnsi="Garamond" w:cs="Times New Roman"/>
              </w:rPr>
              <w:t>Client goals listed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F9AD9C" w14:textId="77777777" w:rsidR="00AD7489" w:rsidRPr="00990078" w:rsidRDefault="00AD7489" w:rsidP="00D53CC6">
            <w:pPr>
              <w:rPr>
                <w:rFonts w:ascii="Garamond" w:hAnsi="Garamond" w:cs="Times New Roman"/>
              </w:rPr>
            </w:pPr>
            <w:r w:rsidRPr="00990078">
              <w:rPr>
                <w:rFonts w:ascii="Garamond" w:hAnsi="Garamond" w:cs="Times New Roman"/>
              </w:rPr>
              <w:t>Reflects active treatment plan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85E880" w14:textId="77777777" w:rsidR="00AD7489" w:rsidRPr="00990078" w:rsidRDefault="00AD7489" w:rsidP="00D53CC6">
            <w:pPr>
              <w:rPr>
                <w:rFonts w:ascii="Garamond" w:hAnsi="Garamond" w:cs="Times New Roman"/>
              </w:rPr>
            </w:pPr>
          </w:p>
        </w:tc>
      </w:tr>
      <w:tr w:rsidR="00AD7489" w:rsidRPr="00990078" w14:paraId="3C2FCDAA"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5D3F7F" w14:textId="77777777" w:rsidR="00AD7489" w:rsidRPr="00990078" w:rsidRDefault="00AD7489" w:rsidP="00D53CC6">
            <w:pPr>
              <w:rPr>
                <w:rFonts w:ascii="Garamond" w:hAnsi="Garamond" w:cs="Times New Roman"/>
              </w:rPr>
            </w:pPr>
            <w:r w:rsidRPr="00990078">
              <w:rPr>
                <w:rFonts w:ascii="Garamond" w:hAnsi="Garamond" w:cs="Times New Roman"/>
              </w:rPr>
              <w:t>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599911" w14:textId="77777777" w:rsidR="00AD7489" w:rsidRPr="00990078" w:rsidRDefault="00AD7489" w:rsidP="00D53CC6">
            <w:pPr>
              <w:rPr>
                <w:rFonts w:ascii="Garamond" w:hAnsi="Garamond" w:cs="Times New Roman"/>
              </w:rPr>
            </w:pPr>
            <w:r w:rsidRPr="00990078">
              <w:rPr>
                <w:rFonts w:ascii="Garamond" w:hAnsi="Garamond" w:cs="Times New Roman"/>
              </w:rPr>
              <w:t>Progress toward goals documented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520847" w14:textId="77777777" w:rsidR="00AD7489" w:rsidRPr="00990078" w:rsidRDefault="00AD7489" w:rsidP="00D53CC6">
            <w:pPr>
              <w:rPr>
                <w:rFonts w:ascii="Garamond" w:hAnsi="Garamond" w:cs="Times New Roman"/>
              </w:rPr>
            </w:pPr>
            <w:r w:rsidRPr="00990078">
              <w:rPr>
                <w:rFonts w:ascii="Garamond" w:hAnsi="Garamond" w:cs="Times New Roman"/>
              </w:rPr>
              <w:t>Objective, data-based description provided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14633C" w14:textId="77777777" w:rsidR="00AD7489" w:rsidRPr="00990078" w:rsidRDefault="00AD7489" w:rsidP="00D53CC6">
            <w:pPr>
              <w:rPr>
                <w:rFonts w:ascii="Garamond" w:hAnsi="Garamond" w:cs="Times New Roman"/>
              </w:rPr>
            </w:pPr>
          </w:p>
        </w:tc>
      </w:tr>
      <w:tr w:rsidR="00AD7489" w:rsidRPr="00990078" w14:paraId="59F6901F"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F1B692" w14:textId="77777777" w:rsidR="00AD7489" w:rsidRPr="00990078" w:rsidRDefault="00AD7489" w:rsidP="00D53CC6">
            <w:pPr>
              <w:rPr>
                <w:rFonts w:ascii="Garamond" w:hAnsi="Garamond" w:cs="Times New Roman"/>
              </w:rPr>
            </w:pPr>
            <w:r w:rsidRPr="00990078">
              <w:rPr>
                <w:rFonts w:ascii="Garamond" w:hAnsi="Garamond" w:cs="Times New Roman"/>
              </w:rPr>
              <w:t>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F5C147" w14:textId="77777777" w:rsidR="00AD7489" w:rsidRPr="00990078" w:rsidRDefault="00AD7489" w:rsidP="00D53CC6">
            <w:pPr>
              <w:rPr>
                <w:rFonts w:ascii="Garamond" w:hAnsi="Garamond" w:cs="Times New Roman"/>
              </w:rPr>
            </w:pPr>
            <w:r w:rsidRPr="00990078">
              <w:rPr>
                <w:rFonts w:ascii="Garamond" w:hAnsi="Garamond" w:cs="Times New Roman"/>
              </w:rPr>
              <w:t>Interventions described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048A26" w14:textId="77777777" w:rsidR="00AD7489" w:rsidRPr="00990078" w:rsidRDefault="00AD7489" w:rsidP="00D53CC6">
            <w:pPr>
              <w:rPr>
                <w:rFonts w:ascii="Garamond" w:hAnsi="Garamond" w:cs="Times New Roman"/>
              </w:rPr>
            </w:pPr>
            <w:r w:rsidRPr="00990078">
              <w:rPr>
                <w:rFonts w:ascii="Garamond" w:hAnsi="Garamond" w:cs="Times New Roman"/>
              </w:rPr>
              <w:t>Clearly states behavioral teaching procedures used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34A6FA" w14:textId="77777777" w:rsidR="00AD7489" w:rsidRPr="00990078" w:rsidRDefault="00AD7489" w:rsidP="00D53CC6">
            <w:pPr>
              <w:rPr>
                <w:rFonts w:ascii="Garamond" w:hAnsi="Garamond" w:cs="Times New Roman"/>
              </w:rPr>
            </w:pPr>
          </w:p>
        </w:tc>
      </w:tr>
      <w:tr w:rsidR="00AD7489" w:rsidRPr="00990078" w14:paraId="25903FB0"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03E427" w14:textId="77777777" w:rsidR="00AD7489" w:rsidRPr="00990078" w:rsidRDefault="00AD7489" w:rsidP="00D53CC6">
            <w:pPr>
              <w:rPr>
                <w:rFonts w:ascii="Garamond" w:hAnsi="Garamond" w:cs="Times New Roman"/>
              </w:rPr>
            </w:pPr>
            <w:r w:rsidRPr="00990078">
              <w:rPr>
                <w:rFonts w:ascii="Garamond" w:hAnsi="Garamond" w:cs="Times New Roman"/>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54A5C7" w14:textId="77777777" w:rsidR="00AD7489" w:rsidRPr="00990078" w:rsidRDefault="00AD7489" w:rsidP="00D53CC6">
            <w:pPr>
              <w:rPr>
                <w:rFonts w:ascii="Garamond" w:hAnsi="Garamond" w:cs="Times New Roman"/>
              </w:rPr>
            </w:pPr>
            <w:r w:rsidRPr="00990078">
              <w:rPr>
                <w:rFonts w:ascii="Garamond" w:hAnsi="Garamond" w:cs="Times New Roman"/>
              </w:rPr>
              <w:t>Behavior outcomes summarized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689590" w14:textId="77777777" w:rsidR="00AD7489" w:rsidRPr="00990078" w:rsidRDefault="00AD7489" w:rsidP="00D53CC6">
            <w:pPr>
              <w:rPr>
                <w:rFonts w:ascii="Garamond" w:hAnsi="Garamond" w:cs="Times New Roman"/>
              </w:rPr>
            </w:pPr>
            <w:r w:rsidRPr="00990078">
              <w:rPr>
                <w:rFonts w:ascii="Garamond" w:hAnsi="Garamond" w:cs="Times New Roman"/>
              </w:rPr>
              <w:t>Notes client response and progress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3EA016" w14:textId="77777777" w:rsidR="00AD7489" w:rsidRPr="00990078" w:rsidRDefault="00AD7489" w:rsidP="00D53CC6">
            <w:pPr>
              <w:rPr>
                <w:rFonts w:ascii="Garamond" w:hAnsi="Garamond" w:cs="Times New Roman"/>
              </w:rPr>
            </w:pPr>
          </w:p>
        </w:tc>
      </w:tr>
      <w:tr w:rsidR="00AD7489" w:rsidRPr="00990078" w14:paraId="723998DD"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E818A8" w14:textId="77777777" w:rsidR="00AD7489" w:rsidRPr="00990078" w:rsidRDefault="00AD7489" w:rsidP="00D53CC6">
            <w:pPr>
              <w:rPr>
                <w:rFonts w:ascii="Garamond" w:hAnsi="Garamond" w:cs="Times New Roman"/>
              </w:rPr>
            </w:pPr>
            <w:r w:rsidRPr="00990078">
              <w:rPr>
                <w:rFonts w:ascii="Garamond" w:hAnsi="Garamond" w:cs="Times New Roman"/>
              </w:rPr>
              <w:t>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06B714" w14:textId="77777777" w:rsidR="00AD7489" w:rsidRPr="00990078" w:rsidRDefault="00AD7489" w:rsidP="00D53CC6">
            <w:pPr>
              <w:rPr>
                <w:rFonts w:ascii="Garamond" w:hAnsi="Garamond" w:cs="Times New Roman"/>
              </w:rPr>
            </w:pPr>
            <w:r w:rsidRPr="00990078">
              <w:rPr>
                <w:rFonts w:ascii="Garamond" w:hAnsi="Garamond" w:cs="Times New Roman"/>
              </w:rPr>
              <w:t>Objective data included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AA5022" w14:textId="77777777" w:rsidR="00AD7489" w:rsidRPr="00990078" w:rsidRDefault="00AD7489" w:rsidP="00D53CC6">
            <w:pPr>
              <w:rPr>
                <w:rFonts w:ascii="Garamond" w:hAnsi="Garamond" w:cs="Times New Roman"/>
              </w:rPr>
            </w:pPr>
            <w:r w:rsidRPr="00990078">
              <w:rPr>
                <w:rFonts w:ascii="Garamond" w:hAnsi="Garamond" w:cs="Times New Roman"/>
              </w:rPr>
              <w:t>Contains quantifiable data points or session summaries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D10855" w14:textId="77777777" w:rsidR="00AD7489" w:rsidRPr="00990078" w:rsidRDefault="00AD7489" w:rsidP="00D53CC6">
            <w:pPr>
              <w:rPr>
                <w:rFonts w:ascii="Garamond" w:hAnsi="Garamond" w:cs="Times New Roman"/>
              </w:rPr>
            </w:pPr>
          </w:p>
        </w:tc>
      </w:tr>
      <w:tr w:rsidR="00AD7489" w:rsidRPr="00990078" w14:paraId="6570ABA3"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AA5D62" w14:textId="77777777" w:rsidR="00AD7489" w:rsidRPr="00990078" w:rsidRDefault="00AD7489" w:rsidP="00D53CC6">
            <w:pPr>
              <w:rPr>
                <w:rFonts w:ascii="Garamond" w:hAnsi="Garamond" w:cs="Times New Roman"/>
              </w:rPr>
            </w:pPr>
            <w:r w:rsidRPr="00990078">
              <w:rPr>
                <w:rFonts w:ascii="Garamond" w:hAnsi="Garamond" w:cs="Times New Roman"/>
              </w:rPr>
              <w:t>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CD3F42" w14:textId="77777777" w:rsidR="00AD7489" w:rsidRPr="00990078" w:rsidRDefault="00AD7489" w:rsidP="00D53CC6">
            <w:pPr>
              <w:rPr>
                <w:rFonts w:ascii="Garamond" w:hAnsi="Garamond" w:cs="Times New Roman"/>
              </w:rPr>
            </w:pPr>
            <w:r w:rsidRPr="00990078">
              <w:rPr>
                <w:rFonts w:ascii="Garamond" w:hAnsi="Garamond" w:cs="Times New Roman"/>
              </w:rPr>
              <w:t>Session duration documented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00ABD5" w14:textId="77777777" w:rsidR="00AD7489" w:rsidRPr="00990078" w:rsidRDefault="00AD7489" w:rsidP="00D53CC6">
            <w:pPr>
              <w:rPr>
                <w:rFonts w:ascii="Garamond" w:hAnsi="Garamond" w:cs="Times New Roman"/>
              </w:rPr>
            </w:pPr>
            <w:r w:rsidRPr="00990078">
              <w:rPr>
                <w:rFonts w:ascii="Garamond" w:hAnsi="Garamond" w:cs="Times New Roman"/>
              </w:rPr>
              <w:t>Consistent with recorded time in billing entry</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CCD0BC" w14:textId="77777777" w:rsidR="00AD7489" w:rsidRPr="00990078" w:rsidRDefault="00AD7489" w:rsidP="00D53CC6">
            <w:pPr>
              <w:rPr>
                <w:rFonts w:ascii="Garamond" w:hAnsi="Garamond" w:cs="Times New Roman"/>
              </w:rPr>
            </w:pPr>
          </w:p>
        </w:tc>
      </w:tr>
      <w:tr w:rsidR="00AD7489" w:rsidRPr="00990078" w14:paraId="1B8C382B"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75896C" w14:textId="77777777" w:rsidR="00AD7489" w:rsidRPr="00990078" w:rsidRDefault="00AD7489" w:rsidP="00D53CC6">
            <w:pPr>
              <w:rPr>
                <w:rFonts w:ascii="Garamond" w:hAnsi="Garamond" w:cs="Times New Roman"/>
              </w:rPr>
            </w:pPr>
            <w:r w:rsidRPr="00990078">
              <w:rPr>
                <w:rFonts w:ascii="Garamond" w:hAnsi="Garamond" w:cs="Times New Roman"/>
              </w:rPr>
              <w:t>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25BBB7" w14:textId="77777777" w:rsidR="00AD7489" w:rsidRPr="00990078" w:rsidRDefault="00AD7489" w:rsidP="00D53CC6">
            <w:pPr>
              <w:rPr>
                <w:rFonts w:ascii="Garamond" w:hAnsi="Garamond" w:cs="Times New Roman"/>
              </w:rPr>
            </w:pPr>
            <w:r w:rsidRPr="00990078">
              <w:rPr>
                <w:rFonts w:ascii="Garamond" w:hAnsi="Garamond" w:cs="Times New Roman"/>
              </w:rPr>
              <w:t>Supervision or overlap time noted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9F4043" w14:textId="77777777" w:rsidR="00AD7489" w:rsidRPr="00990078" w:rsidRDefault="00AD7489" w:rsidP="00D53CC6">
            <w:pPr>
              <w:rPr>
                <w:rFonts w:ascii="Garamond" w:hAnsi="Garamond" w:cs="Times New Roman"/>
              </w:rPr>
            </w:pPr>
            <w:r w:rsidRPr="00990078">
              <w:rPr>
                <w:rFonts w:ascii="Garamond" w:hAnsi="Garamond" w:cs="Times New Roman"/>
              </w:rPr>
              <w:t>Clearly differentiated from direct service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7109A7" w14:textId="77777777" w:rsidR="00AD7489" w:rsidRPr="00990078" w:rsidRDefault="00AD7489" w:rsidP="00D53CC6">
            <w:pPr>
              <w:rPr>
                <w:rFonts w:ascii="Garamond" w:hAnsi="Garamond" w:cs="Times New Roman"/>
              </w:rPr>
            </w:pPr>
          </w:p>
        </w:tc>
      </w:tr>
      <w:tr w:rsidR="00AD7489" w:rsidRPr="00990078" w14:paraId="12060DD8"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537DB2" w14:textId="77777777" w:rsidR="00AD7489" w:rsidRPr="00990078" w:rsidRDefault="00AD7489" w:rsidP="00D53CC6">
            <w:pPr>
              <w:rPr>
                <w:rFonts w:ascii="Garamond" w:hAnsi="Garamond" w:cs="Times New Roman"/>
              </w:rPr>
            </w:pPr>
            <w:r w:rsidRPr="00990078">
              <w:rPr>
                <w:rFonts w:ascii="Garamond" w:hAnsi="Garamond" w:cs="Times New Roman"/>
              </w:rPr>
              <w:t>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09F8B8" w14:textId="77777777" w:rsidR="00AD7489" w:rsidRPr="00990078" w:rsidRDefault="00AD7489" w:rsidP="00D53CC6">
            <w:pPr>
              <w:rPr>
                <w:rFonts w:ascii="Garamond" w:hAnsi="Garamond" w:cs="Times New Roman"/>
              </w:rPr>
            </w:pPr>
            <w:r w:rsidRPr="00990078">
              <w:rPr>
                <w:rFonts w:ascii="Garamond" w:hAnsi="Garamond" w:cs="Times New Roman"/>
              </w:rPr>
              <w:t>Parent or caregiver involvement documented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9789C8" w14:textId="77777777" w:rsidR="00AD7489" w:rsidRPr="00990078" w:rsidRDefault="00AD7489" w:rsidP="00D53CC6">
            <w:pPr>
              <w:rPr>
                <w:rFonts w:ascii="Garamond" w:hAnsi="Garamond" w:cs="Times New Roman"/>
              </w:rPr>
            </w:pPr>
            <w:r w:rsidRPr="00990078">
              <w:rPr>
                <w:rFonts w:ascii="Garamond" w:hAnsi="Garamond" w:cs="Times New Roman"/>
              </w:rPr>
              <w:t>If applicable, participation and goal reviewed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8D7674" w14:textId="77777777" w:rsidR="00AD7489" w:rsidRPr="00990078" w:rsidRDefault="00AD7489" w:rsidP="00D53CC6">
            <w:pPr>
              <w:rPr>
                <w:rFonts w:ascii="Garamond" w:hAnsi="Garamond" w:cs="Times New Roman"/>
              </w:rPr>
            </w:pPr>
          </w:p>
        </w:tc>
      </w:tr>
      <w:tr w:rsidR="00AD7489" w:rsidRPr="00990078" w14:paraId="1AFFBF47"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4DD8CF" w14:textId="77777777" w:rsidR="00AD7489" w:rsidRPr="00990078" w:rsidRDefault="00AD7489" w:rsidP="00D53CC6">
            <w:pPr>
              <w:rPr>
                <w:rFonts w:ascii="Garamond" w:hAnsi="Garamond" w:cs="Times New Roman"/>
              </w:rPr>
            </w:pPr>
            <w:r w:rsidRPr="00990078">
              <w:rPr>
                <w:rFonts w:ascii="Garamond" w:hAnsi="Garamond" w:cs="Times New Roman"/>
              </w:rPr>
              <w:t>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833FA8" w14:textId="77777777" w:rsidR="00AD7489" w:rsidRPr="00990078" w:rsidRDefault="00AD7489" w:rsidP="00D53CC6">
            <w:pPr>
              <w:rPr>
                <w:rFonts w:ascii="Garamond" w:hAnsi="Garamond" w:cs="Times New Roman"/>
              </w:rPr>
            </w:pPr>
            <w:r w:rsidRPr="00990078">
              <w:rPr>
                <w:rFonts w:ascii="Garamond" w:hAnsi="Garamond" w:cs="Times New Roman"/>
              </w:rPr>
              <w:t>Behavior incidents described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2E14A8" w14:textId="77777777" w:rsidR="00AD7489" w:rsidRPr="00990078" w:rsidRDefault="00AD7489" w:rsidP="00D53CC6">
            <w:pPr>
              <w:rPr>
                <w:rFonts w:ascii="Garamond" w:hAnsi="Garamond" w:cs="Times New Roman"/>
              </w:rPr>
            </w:pPr>
            <w:r w:rsidRPr="00990078">
              <w:rPr>
                <w:rFonts w:ascii="Garamond" w:hAnsi="Garamond" w:cs="Times New Roman"/>
              </w:rPr>
              <w:t>Includes ABC format and response procedures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DB37FD" w14:textId="77777777" w:rsidR="00AD7489" w:rsidRPr="00990078" w:rsidRDefault="00AD7489" w:rsidP="00D53CC6">
            <w:pPr>
              <w:rPr>
                <w:rFonts w:ascii="Garamond" w:hAnsi="Garamond" w:cs="Times New Roman"/>
              </w:rPr>
            </w:pPr>
          </w:p>
        </w:tc>
      </w:tr>
      <w:tr w:rsidR="00AD7489" w:rsidRPr="00990078" w14:paraId="0D83410C"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59BC84" w14:textId="77777777" w:rsidR="00AD7489" w:rsidRPr="00990078" w:rsidRDefault="00AD7489" w:rsidP="00D53CC6">
            <w:pPr>
              <w:rPr>
                <w:rFonts w:ascii="Garamond" w:hAnsi="Garamond" w:cs="Times New Roman"/>
              </w:rPr>
            </w:pPr>
            <w:r w:rsidRPr="00990078">
              <w:rPr>
                <w:rFonts w:ascii="Garamond" w:hAnsi="Garamond" w:cs="Times New Roman"/>
              </w:rPr>
              <w:t>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A1F6DB" w14:textId="77777777" w:rsidR="00AD7489" w:rsidRPr="00990078" w:rsidRDefault="00AD7489" w:rsidP="00D53CC6">
            <w:pPr>
              <w:rPr>
                <w:rFonts w:ascii="Garamond" w:hAnsi="Garamond" w:cs="Times New Roman"/>
              </w:rPr>
            </w:pPr>
            <w:r w:rsidRPr="00990078">
              <w:rPr>
                <w:rFonts w:ascii="Garamond" w:hAnsi="Garamond" w:cs="Times New Roman"/>
              </w:rPr>
              <w:t>Correct CPT modifier applied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8826C4" w14:textId="77777777" w:rsidR="00AD7489" w:rsidRPr="00990078" w:rsidRDefault="00AD7489" w:rsidP="00D53CC6">
            <w:pPr>
              <w:rPr>
                <w:rFonts w:ascii="Garamond" w:hAnsi="Garamond" w:cs="Times New Roman"/>
              </w:rPr>
            </w:pPr>
            <w:r w:rsidRPr="00990078">
              <w:rPr>
                <w:rFonts w:ascii="Garamond" w:hAnsi="Garamond" w:cs="Times New Roman"/>
              </w:rPr>
              <w:t>Matches session type and staffing configuration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442D1A" w14:textId="77777777" w:rsidR="00AD7489" w:rsidRPr="00990078" w:rsidRDefault="00AD7489" w:rsidP="00D53CC6">
            <w:pPr>
              <w:rPr>
                <w:rFonts w:ascii="Garamond" w:hAnsi="Garamond" w:cs="Times New Roman"/>
              </w:rPr>
            </w:pPr>
          </w:p>
        </w:tc>
      </w:tr>
      <w:tr w:rsidR="00AD7489" w:rsidRPr="00990078" w14:paraId="6CA8E4D7"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6333E9" w14:textId="77777777" w:rsidR="00AD7489" w:rsidRPr="00990078" w:rsidRDefault="00AD7489" w:rsidP="00D53CC6">
            <w:pPr>
              <w:rPr>
                <w:rFonts w:ascii="Garamond" w:hAnsi="Garamond" w:cs="Times New Roman"/>
              </w:rPr>
            </w:pPr>
            <w:r w:rsidRPr="00990078">
              <w:rPr>
                <w:rFonts w:ascii="Garamond" w:hAnsi="Garamond" w:cs="Times New Roman"/>
              </w:rPr>
              <w:t>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CB6796" w14:textId="77777777" w:rsidR="00AD7489" w:rsidRPr="00990078" w:rsidRDefault="00AD7489" w:rsidP="00D53CC6">
            <w:pPr>
              <w:rPr>
                <w:rFonts w:ascii="Garamond" w:hAnsi="Garamond" w:cs="Times New Roman"/>
              </w:rPr>
            </w:pPr>
            <w:r w:rsidRPr="00990078">
              <w:rPr>
                <w:rFonts w:ascii="Garamond" w:hAnsi="Garamond" w:cs="Times New Roman"/>
              </w:rPr>
              <w:t>Signature of rendering provider</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51955F" w14:textId="77777777" w:rsidR="00AD7489" w:rsidRPr="00990078" w:rsidRDefault="00AD7489" w:rsidP="00D53CC6">
            <w:pPr>
              <w:rPr>
                <w:rFonts w:ascii="Garamond" w:hAnsi="Garamond" w:cs="Times New Roman"/>
              </w:rPr>
            </w:pPr>
            <w:r w:rsidRPr="00990078">
              <w:rPr>
                <w:rFonts w:ascii="Garamond" w:hAnsi="Garamond" w:cs="Times New Roman"/>
              </w:rPr>
              <w:t>Electronically signed and dated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DC39FA" w14:textId="77777777" w:rsidR="00AD7489" w:rsidRPr="00990078" w:rsidRDefault="00AD7489" w:rsidP="00D53CC6">
            <w:pPr>
              <w:rPr>
                <w:rFonts w:ascii="Garamond" w:hAnsi="Garamond" w:cs="Times New Roman"/>
              </w:rPr>
            </w:pPr>
          </w:p>
        </w:tc>
      </w:tr>
      <w:tr w:rsidR="00AD7489" w:rsidRPr="00990078" w14:paraId="78E5D583"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5FEEB7" w14:textId="77777777" w:rsidR="00AD7489" w:rsidRPr="00990078" w:rsidRDefault="00AD7489" w:rsidP="00D53CC6">
            <w:pPr>
              <w:rPr>
                <w:rFonts w:ascii="Garamond" w:hAnsi="Garamond" w:cs="Times New Roman"/>
              </w:rPr>
            </w:pPr>
            <w:r w:rsidRPr="00990078">
              <w:rPr>
                <w:rFonts w:ascii="Garamond" w:hAnsi="Garamond" w:cs="Times New Roman"/>
              </w:rPr>
              <w:t>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559774" w14:textId="77777777" w:rsidR="00AD7489" w:rsidRPr="00990078" w:rsidRDefault="00AD7489" w:rsidP="00D53CC6">
            <w:pPr>
              <w:rPr>
                <w:rFonts w:ascii="Garamond" w:hAnsi="Garamond" w:cs="Times New Roman"/>
              </w:rPr>
            </w:pPr>
            <w:r w:rsidRPr="00990078">
              <w:rPr>
                <w:rFonts w:ascii="Garamond" w:hAnsi="Garamond" w:cs="Times New Roman"/>
              </w:rPr>
              <w:t>Date of data entry recorded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A02716" w14:textId="77777777" w:rsidR="00AD7489" w:rsidRPr="00990078" w:rsidRDefault="00AD7489" w:rsidP="00D53CC6">
            <w:pPr>
              <w:rPr>
                <w:rFonts w:ascii="Garamond" w:hAnsi="Garamond" w:cs="Times New Roman"/>
              </w:rPr>
            </w:pPr>
            <w:r w:rsidRPr="00990078">
              <w:rPr>
                <w:rFonts w:ascii="Garamond" w:hAnsi="Garamond" w:cs="Times New Roman"/>
              </w:rPr>
              <w:t>Matches service delivery date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08710C" w14:textId="77777777" w:rsidR="00AD7489" w:rsidRPr="00990078" w:rsidRDefault="00AD7489" w:rsidP="00D53CC6">
            <w:pPr>
              <w:rPr>
                <w:rFonts w:ascii="Garamond" w:hAnsi="Garamond" w:cs="Times New Roman"/>
              </w:rPr>
            </w:pPr>
          </w:p>
        </w:tc>
      </w:tr>
      <w:tr w:rsidR="00AD7489" w:rsidRPr="00990078" w14:paraId="403A025F"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3D01F8" w14:textId="77777777" w:rsidR="00AD7489" w:rsidRPr="00990078" w:rsidRDefault="00AD7489" w:rsidP="00D53CC6">
            <w:pPr>
              <w:rPr>
                <w:rFonts w:ascii="Garamond" w:hAnsi="Garamond" w:cs="Times New Roman"/>
              </w:rPr>
            </w:pPr>
            <w:r w:rsidRPr="00990078">
              <w:rPr>
                <w:rFonts w:ascii="Garamond" w:hAnsi="Garamond" w:cs="Times New Roman"/>
              </w:rPr>
              <w:t>17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8158D7" w14:textId="77777777" w:rsidR="00AD7489" w:rsidRPr="00990078" w:rsidRDefault="00AD7489" w:rsidP="00D53CC6">
            <w:pPr>
              <w:rPr>
                <w:rFonts w:ascii="Garamond" w:hAnsi="Garamond" w:cs="Times New Roman"/>
              </w:rPr>
            </w:pPr>
            <w:r w:rsidRPr="00990078">
              <w:rPr>
                <w:rFonts w:ascii="Garamond" w:hAnsi="Garamond" w:cs="Times New Roman"/>
              </w:rPr>
              <w:t>Notes written in professional language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3A1077" w14:textId="77777777" w:rsidR="00AD7489" w:rsidRPr="00990078" w:rsidRDefault="00AD7489" w:rsidP="00D53CC6">
            <w:pPr>
              <w:rPr>
                <w:rFonts w:ascii="Garamond" w:hAnsi="Garamond" w:cs="Times New Roman"/>
              </w:rPr>
            </w:pPr>
            <w:r w:rsidRPr="00990078">
              <w:rPr>
                <w:rFonts w:ascii="Garamond" w:hAnsi="Garamond" w:cs="Times New Roman"/>
              </w:rPr>
              <w:t>Objective and free from jargon or opinion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966F55" w14:textId="77777777" w:rsidR="00AD7489" w:rsidRPr="00990078" w:rsidRDefault="00AD7489" w:rsidP="00D53CC6">
            <w:pPr>
              <w:rPr>
                <w:rFonts w:ascii="Garamond" w:hAnsi="Garamond" w:cs="Times New Roman"/>
              </w:rPr>
            </w:pPr>
          </w:p>
        </w:tc>
      </w:tr>
      <w:tr w:rsidR="00AD7489" w:rsidRPr="00990078" w14:paraId="79187090"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79BEF9" w14:textId="77777777" w:rsidR="00AD7489" w:rsidRPr="00990078" w:rsidRDefault="00AD7489" w:rsidP="00D53CC6">
            <w:pPr>
              <w:rPr>
                <w:rFonts w:ascii="Garamond" w:hAnsi="Garamond" w:cs="Times New Roman"/>
              </w:rPr>
            </w:pPr>
            <w:r w:rsidRPr="00990078">
              <w:rPr>
                <w:rFonts w:ascii="Garamond" w:hAnsi="Garamond" w:cs="Times New Roman"/>
              </w:rPr>
              <w:t>18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9FFC5F" w14:textId="77777777" w:rsidR="00AD7489" w:rsidRPr="00990078" w:rsidRDefault="00AD7489" w:rsidP="00D53CC6">
            <w:pPr>
              <w:rPr>
                <w:rFonts w:ascii="Garamond" w:hAnsi="Garamond" w:cs="Times New Roman"/>
              </w:rPr>
            </w:pPr>
            <w:r w:rsidRPr="00990078">
              <w:rPr>
                <w:rFonts w:ascii="Garamond" w:hAnsi="Garamond" w:cs="Times New Roman"/>
              </w:rPr>
              <w:t>Medicaid-required fields complete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A19EE7" w14:textId="77777777" w:rsidR="00AD7489" w:rsidRPr="00990078" w:rsidRDefault="00AD7489" w:rsidP="00D53CC6">
            <w:pPr>
              <w:rPr>
                <w:rFonts w:ascii="Garamond" w:hAnsi="Garamond" w:cs="Times New Roman"/>
              </w:rPr>
            </w:pPr>
            <w:r w:rsidRPr="00990078">
              <w:rPr>
                <w:rFonts w:ascii="Garamond" w:hAnsi="Garamond" w:cs="Times New Roman"/>
              </w:rPr>
              <w:t>All billing and clinical identifiers included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59EE51" w14:textId="77777777" w:rsidR="00AD7489" w:rsidRPr="00990078" w:rsidRDefault="00AD7489" w:rsidP="00D53CC6">
            <w:pPr>
              <w:rPr>
                <w:rFonts w:ascii="Garamond" w:hAnsi="Garamond" w:cs="Times New Roman"/>
              </w:rPr>
            </w:pPr>
          </w:p>
        </w:tc>
      </w:tr>
      <w:tr w:rsidR="00AD7489" w:rsidRPr="00990078" w14:paraId="6213D2BB"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A34E08" w14:textId="77777777" w:rsidR="00AD7489" w:rsidRPr="00990078" w:rsidRDefault="00AD7489" w:rsidP="00D53CC6">
            <w:pPr>
              <w:rPr>
                <w:rFonts w:ascii="Garamond" w:hAnsi="Garamond" w:cs="Times New Roman"/>
              </w:rPr>
            </w:pPr>
            <w:r w:rsidRPr="00990078">
              <w:rPr>
                <w:rFonts w:ascii="Garamond" w:hAnsi="Garamond" w:cs="Times New Roman"/>
              </w:rPr>
              <w:t>19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F55D5A" w14:textId="77777777" w:rsidR="00AD7489" w:rsidRPr="00990078" w:rsidRDefault="00AD7489" w:rsidP="00D53CC6">
            <w:pPr>
              <w:rPr>
                <w:rFonts w:ascii="Garamond" w:hAnsi="Garamond" w:cs="Times New Roman"/>
              </w:rPr>
            </w:pPr>
            <w:r w:rsidRPr="00990078">
              <w:rPr>
                <w:rFonts w:ascii="Garamond" w:hAnsi="Garamond" w:cs="Times New Roman"/>
              </w:rPr>
              <w:t>Documentation matches scheduled authorization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0B1460" w14:textId="77777777" w:rsidR="00AD7489" w:rsidRPr="00990078" w:rsidRDefault="00AD7489" w:rsidP="00D53CC6">
            <w:pPr>
              <w:rPr>
                <w:rFonts w:ascii="Garamond" w:hAnsi="Garamond" w:cs="Times New Roman"/>
              </w:rPr>
            </w:pPr>
            <w:r w:rsidRPr="00990078">
              <w:rPr>
                <w:rFonts w:ascii="Garamond" w:hAnsi="Garamond" w:cs="Times New Roman"/>
              </w:rPr>
              <w:t>Units, time, and provider type accurate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194FB6" w14:textId="77777777" w:rsidR="00AD7489" w:rsidRPr="00990078" w:rsidRDefault="00AD7489" w:rsidP="00D53CC6">
            <w:pPr>
              <w:rPr>
                <w:rFonts w:ascii="Garamond" w:hAnsi="Garamond" w:cs="Times New Roman"/>
              </w:rPr>
            </w:pPr>
          </w:p>
        </w:tc>
      </w:tr>
      <w:tr w:rsidR="00AD7489" w:rsidRPr="00990078" w14:paraId="76F56519" w14:textId="77777777" w:rsidTr="00D53CC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883311" w14:textId="77777777" w:rsidR="00AD7489" w:rsidRPr="00990078" w:rsidRDefault="00AD7489" w:rsidP="00D53CC6">
            <w:pPr>
              <w:rPr>
                <w:rFonts w:ascii="Garamond" w:hAnsi="Garamond" w:cs="Times New Roman"/>
              </w:rPr>
            </w:pPr>
            <w:r w:rsidRPr="00990078">
              <w:rPr>
                <w:rFonts w:ascii="Garamond" w:hAnsi="Garamond" w:cs="Times New Roman"/>
              </w:rPr>
              <w:lastRenderedPageBreak/>
              <w:t>20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1BD290" w14:textId="77777777" w:rsidR="00AD7489" w:rsidRPr="00990078" w:rsidRDefault="00AD7489" w:rsidP="00D53CC6">
            <w:pPr>
              <w:rPr>
                <w:rFonts w:ascii="Garamond" w:hAnsi="Garamond" w:cs="Times New Roman"/>
              </w:rPr>
            </w:pPr>
            <w:r w:rsidRPr="00990078">
              <w:rPr>
                <w:rFonts w:ascii="Garamond" w:hAnsi="Garamond" w:cs="Times New Roman"/>
              </w:rPr>
              <w:t>Session note finalized in EMR</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69D1C8" w14:textId="77777777" w:rsidR="00AD7489" w:rsidRPr="00990078" w:rsidRDefault="00AD7489" w:rsidP="00D53CC6">
            <w:pPr>
              <w:rPr>
                <w:rFonts w:ascii="Garamond" w:hAnsi="Garamond" w:cs="Times New Roman"/>
              </w:rPr>
            </w:pPr>
            <w:r w:rsidRPr="00990078">
              <w:rPr>
                <w:rFonts w:ascii="Garamond" w:hAnsi="Garamond" w:cs="Times New Roman"/>
              </w:rPr>
              <w:t>Saved and submitted within 24 hours of session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A1959C" w14:textId="77777777" w:rsidR="00AD7489" w:rsidRPr="00990078" w:rsidRDefault="00AD7489" w:rsidP="00D53CC6">
            <w:pPr>
              <w:rPr>
                <w:rFonts w:ascii="Garamond" w:hAnsi="Garamond" w:cs="Times New Roman"/>
              </w:rPr>
            </w:pPr>
          </w:p>
        </w:tc>
      </w:tr>
    </w:tbl>
    <w:p w14:paraId="3F3471B5" w14:textId="77777777" w:rsidR="00AD7489" w:rsidRPr="00990078" w:rsidRDefault="00AD7489" w:rsidP="00AD7489">
      <w:pPr>
        <w:rPr>
          <w:rFonts w:ascii="Garamond" w:hAnsi="Garamond" w:cs="Times New Roman"/>
          <w:lang w:val="fr-FR"/>
        </w:rPr>
      </w:pPr>
      <w:r w:rsidRPr="00990078">
        <w:rPr>
          <w:rFonts w:ascii="Garamond" w:hAnsi="Garamond" w:cs="Times New Roman"/>
          <w:b/>
          <w:bCs/>
          <w:lang w:val="fr-FR"/>
        </w:rPr>
        <w:t xml:space="preserve">Example </w:t>
      </w:r>
      <w:proofErr w:type="gramStart"/>
      <w:r w:rsidRPr="00990078">
        <w:rPr>
          <w:rFonts w:ascii="Garamond" w:hAnsi="Garamond" w:cs="Times New Roman"/>
          <w:b/>
          <w:bCs/>
          <w:lang w:val="fr-FR"/>
        </w:rPr>
        <w:t>Calculation:</w:t>
      </w:r>
      <w:proofErr w:type="gramEnd"/>
      <w:r w:rsidRPr="00990078">
        <w:rPr>
          <w:rFonts w:ascii="Garamond" w:hAnsi="Garamond" w:cs="Times New Roman"/>
          <w:lang w:val="fr-FR"/>
        </w:rPr>
        <w:br/>
        <w:t>18 compliant items ÷ 20 × 100 = 90% Documentation Compliance</w:t>
      </w:r>
    </w:p>
    <w:p w14:paraId="2C16E8B5" w14:textId="04DC85D2" w:rsidR="00990078" w:rsidRDefault="00AD7489">
      <w:pPr>
        <w:rPr>
          <w:rFonts w:ascii="Times New Roman" w:hAnsi="Times New Roman" w:cs="Times New Roman"/>
        </w:rPr>
      </w:pPr>
      <w:r w:rsidRPr="00990078">
        <w:rPr>
          <w:rFonts w:ascii="Garamond" w:hAnsi="Garamond" w:cs="Times New Roman"/>
          <w:b/>
          <w:bCs/>
        </w:rPr>
        <w:t>Use in Evaluation</w:t>
      </w:r>
      <w:r w:rsidRPr="00990078">
        <w:rPr>
          <w:rFonts w:ascii="Garamond" w:hAnsi="Garamond" w:cs="Times New Roman"/>
        </w:rPr>
        <w:br/>
        <w:t>Monthly DCAT scores will serve as the project’s primary quantitative outcome measure, indicating overall improvement in documentation compliance. Audit results will also be used to inform staff retraining, identify procedural gaps, and monitor long-term sustainability of compliance improveme</w:t>
      </w:r>
      <w:r w:rsidRPr="00B27816">
        <w:rPr>
          <w:rFonts w:ascii="Times New Roman" w:hAnsi="Times New Roman" w:cs="Times New Roman"/>
        </w:rPr>
        <w:t>nts.</w:t>
      </w:r>
    </w:p>
    <w:p w14:paraId="1B066D7B" w14:textId="77777777" w:rsidR="00990078" w:rsidRDefault="00990078">
      <w:pPr>
        <w:rPr>
          <w:rFonts w:ascii="Times New Roman" w:hAnsi="Times New Roman" w:cs="Times New Roman"/>
        </w:rPr>
      </w:pPr>
      <w:r>
        <w:rPr>
          <w:rFonts w:ascii="Times New Roman" w:hAnsi="Times New Roman" w:cs="Times New Roman"/>
        </w:rPr>
        <w:br w:type="page"/>
      </w:r>
    </w:p>
    <w:p w14:paraId="5382E210" w14:textId="021F57E2" w:rsidR="00990078" w:rsidRPr="00990078" w:rsidRDefault="00990078" w:rsidP="00990078">
      <w:pPr>
        <w:pStyle w:val="Heading1"/>
        <w:jc w:val="center"/>
        <w:rPr>
          <w:rFonts w:ascii="Garamond" w:hAnsi="Garamond" w:cs="Times New Roman"/>
          <w:b/>
          <w:bCs/>
          <w:color w:val="auto"/>
          <w:sz w:val="24"/>
          <w:szCs w:val="24"/>
        </w:rPr>
      </w:pPr>
      <w:bookmarkStart w:id="52" w:name="_Toc228175338"/>
      <w:r w:rsidRPr="00990078">
        <w:rPr>
          <w:rFonts w:ascii="Garamond" w:hAnsi="Garamond" w:cs="Times New Roman"/>
          <w:b/>
          <w:bCs/>
          <w:color w:val="auto"/>
          <w:sz w:val="24"/>
          <w:szCs w:val="24"/>
        </w:rPr>
        <w:lastRenderedPageBreak/>
        <w:t xml:space="preserve">Appendix </w:t>
      </w:r>
      <w:r>
        <w:rPr>
          <w:rFonts w:ascii="Garamond" w:hAnsi="Garamond" w:cs="Times New Roman"/>
          <w:b/>
          <w:bCs/>
          <w:color w:val="auto"/>
          <w:sz w:val="24"/>
          <w:szCs w:val="24"/>
        </w:rPr>
        <w:t>G</w:t>
      </w:r>
      <w:bookmarkEnd w:id="52"/>
    </w:p>
    <w:p w14:paraId="42E6BC54" w14:textId="77777777" w:rsidR="00990078" w:rsidRPr="00B54BAE" w:rsidRDefault="00990078" w:rsidP="00990078">
      <w:pPr>
        <w:spacing w:after="0" w:line="480" w:lineRule="auto"/>
        <w:jc w:val="center"/>
        <w:rPr>
          <w:rFonts w:ascii="Times New Roman" w:eastAsia="Times New Roman" w:hAnsi="Times New Roman" w:cs="Times New Roman"/>
          <w:b/>
          <w:bCs/>
        </w:rPr>
      </w:pPr>
      <w:r w:rsidRPr="00426A78">
        <w:rPr>
          <w:rFonts w:ascii="Times New Roman" w:eastAsia="Times New Roman" w:hAnsi="Times New Roman" w:cs="Times New Roman"/>
          <w:b/>
          <w:bCs/>
        </w:rPr>
        <w:t>Literature Review</w:t>
      </w:r>
    </w:p>
    <w:p w14:paraId="53EDE07A" w14:textId="77777777" w:rsidR="00990078" w:rsidRDefault="00990078" w:rsidP="00990078"/>
    <w:tbl>
      <w:tblPr>
        <w:tblStyle w:val="TableGrid"/>
        <w:tblW w:w="5000" w:type="pct"/>
        <w:tblLayout w:type="fixed"/>
        <w:tblLook w:val="04A0" w:firstRow="1" w:lastRow="0" w:firstColumn="1" w:lastColumn="0" w:noHBand="0" w:noVBand="1"/>
      </w:tblPr>
      <w:tblGrid>
        <w:gridCol w:w="1037"/>
        <w:gridCol w:w="1039"/>
        <w:gridCol w:w="1040"/>
        <w:gridCol w:w="1040"/>
        <w:gridCol w:w="1040"/>
        <w:gridCol w:w="1040"/>
        <w:gridCol w:w="1040"/>
        <w:gridCol w:w="1040"/>
        <w:gridCol w:w="1034"/>
      </w:tblGrid>
      <w:tr w:rsidR="00990078" w:rsidRPr="00990078" w14:paraId="40685D2C" w14:textId="77777777" w:rsidTr="00990078">
        <w:tc>
          <w:tcPr>
            <w:tcW w:w="555" w:type="pct"/>
            <w:shd w:val="clear" w:color="auto" w:fill="E8E8E8" w:themeFill="background2"/>
          </w:tcPr>
          <w:p w14:paraId="67C99DA8" w14:textId="77777777" w:rsidR="00990078" w:rsidRPr="00990078" w:rsidRDefault="00990078" w:rsidP="00BE0EA1">
            <w:pPr>
              <w:rPr>
                <w:rFonts w:ascii="Garamond" w:hAnsi="Garamond"/>
                <w:b/>
                <w:bCs/>
                <w:sz w:val="24"/>
                <w:szCs w:val="24"/>
              </w:rPr>
            </w:pPr>
            <w:r w:rsidRPr="00990078">
              <w:rPr>
                <w:rFonts w:ascii="Garamond" w:hAnsi="Garamond"/>
                <w:b/>
                <w:bCs/>
                <w:sz w:val="24"/>
                <w:szCs w:val="24"/>
              </w:rPr>
              <w:t xml:space="preserve">APA 7 Reference </w:t>
            </w:r>
          </w:p>
        </w:tc>
        <w:tc>
          <w:tcPr>
            <w:tcW w:w="556" w:type="pct"/>
            <w:shd w:val="clear" w:color="auto" w:fill="E8E8E8" w:themeFill="background2"/>
          </w:tcPr>
          <w:p w14:paraId="3CB2211B" w14:textId="77777777" w:rsidR="00990078" w:rsidRPr="00990078" w:rsidRDefault="00990078" w:rsidP="00BE0EA1">
            <w:pPr>
              <w:rPr>
                <w:rFonts w:ascii="Garamond" w:hAnsi="Garamond"/>
                <w:b/>
                <w:bCs/>
                <w:sz w:val="24"/>
                <w:szCs w:val="24"/>
              </w:rPr>
            </w:pPr>
            <w:r w:rsidRPr="00990078">
              <w:rPr>
                <w:rFonts w:ascii="Garamond" w:hAnsi="Garamond"/>
                <w:b/>
                <w:bCs/>
                <w:sz w:val="24"/>
                <w:szCs w:val="24"/>
              </w:rPr>
              <w:t>Population</w:t>
            </w:r>
          </w:p>
        </w:tc>
        <w:tc>
          <w:tcPr>
            <w:tcW w:w="556" w:type="pct"/>
            <w:shd w:val="clear" w:color="auto" w:fill="E8E8E8" w:themeFill="background2"/>
          </w:tcPr>
          <w:p w14:paraId="18ACD1F1" w14:textId="77777777" w:rsidR="00990078" w:rsidRPr="00990078" w:rsidRDefault="00990078" w:rsidP="00BE0EA1">
            <w:pPr>
              <w:rPr>
                <w:rFonts w:ascii="Garamond" w:hAnsi="Garamond"/>
                <w:b/>
                <w:bCs/>
                <w:sz w:val="24"/>
                <w:szCs w:val="24"/>
              </w:rPr>
            </w:pPr>
            <w:r w:rsidRPr="00990078">
              <w:rPr>
                <w:rFonts w:ascii="Garamond" w:hAnsi="Garamond"/>
                <w:b/>
                <w:bCs/>
                <w:sz w:val="24"/>
                <w:szCs w:val="24"/>
              </w:rPr>
              <w:t xml:space="preserve">Methodology  </w:t>
            </w:r>
          </w:p>
        </w:tc>
        <w:tc>
          <w:tcPr>
            <w:tcW w:w="556" w:type="pct"/>
            <w:shd w:val="clear" w:color="auto" w:fill="E8E8E8" w:themeFill="background2"/>
          </w:tcPr>
          <w:p w14:paraId="38FEC8D1" w14:textId="77777777" w:rsidR="00990078" w:rsidRPr="00990078" w:rsidRDefault="00990078" w:rsidP="00BE0EA1">
            <w:pPr>
              <w:rPr>
                <w:rFonts w:ascii="Garamond" w:hAnsi="Garamond"/>
                <w:b/>
                <w:bCs/>
                <w:sz w:val="24"/>
                <w:szCs w:val="24"/>
              </w:rPr>
            </w:pPr>
            <w:r w:rsidRPr="00990078">
              <w:rPr>
                <w:rFonts w:ascii="Garamond" w:hAnsi="Garamond"/>
                <w:b/>
                <w:bCs/>
                <w:sz w:val="24"/>
                <w:szCs w:val="24"/>
              </w:rPr>
              <w:t>Dependent Variable/Independent Variables</w:t>
            </w:r>
          </w:p>
        </w:tc>
        <w:tc>
          <w:tcPr>
            <w:tcW w:w="556" w:type="pct"/>
            <w:shd w:val="clear" w:color="auto" w:fill="E8E8E8" w:themeFill="background2"/>
          </w:tcPr>
          <w:p w14:paraId="216AD198" w14:textId="77777777" w:rsidR="00990078" w:rsidRPr="00990078" w:rsidRDefault="00990078" w:rsidP="00BE0EA1">
            <w:pPr>
              <w:rPr>
                <w:rFonts w:ascii="Garamond" w:hAnsi="Garamond"/>
                <w:b/>
                <w:bCs/>
                <w:sz w:val="24"/>
                <w:szCs w:val="24"/>
              </w:rPr>
            </w:pPr>
            <w:r w:rsidRPr="00990078">
              <w:rPr>
                <w:rFonts w:ascii="Garamond" w:hAnsi="Garamond"/>
                <w:b/>
                <w:bCs/>
                <w:sz w:val="24"/>
                <w:szCs w:val="24"/>
              </w:rPr>
              <w:t>Topic/ Theme</w:t>
            </w:r>
          </w:p>
        </w:tc>
        <w:tc>
          <w:tcPr>
            <w:tcW w:w="556" w:type="pct"/>
            <w:shd w:val="clear" w:color="auto" w:fill="E8E8E8" w:themeFill="background2"/>
          </w:tcPr>
          <w:p w14:paraId="19F77BA1" w14:textId="77777777" w:rsidR="00990078" w:rsidRPr="00990078" w:rsidRDefault="00990078" w:rsidP="00BE0EA1">
            <w:pPr>
              <w:rPr>
                <w:rFonts w:ascii="Garamond" w:hAnsi="Garamond"/>
                <w:b/>
                <w:bCs/>
                <w:sz w:val="24"/>
                <w:szCs w:val="24"/>
              </w:rPr>
            </w:pPr>
            <w:r w:rsidRPr="00990078">
              <w:rPr>
                <w:rFonts w:ascii="Garamond" w:hAnsi="Garamond"/>
                <w:b/>
                <w:bCs/>
                <w:sz w:val="24"/>
                <w:szCs w:val="24"/>
              </w:rPr>
              <w:t xml:space="preserve">Key Findings </w:t>
            </w:r>
          </w:p>
        </w:tc>
        <w:tc>
          <w:tcPr>
            <w:tcW w:w="556" w:type="pct"/>
            <w:shd w:val="clear" w:color="auto" w:fill="E8E8E8" w:themeFill="background2"/>
          </w:tcPr>
          <w:p w14:paraId="464E86EF" w14:textId="77777777" w:rsidR="00990078" w:rsidRPr="00990078" w:rsidRDefault="00990078" w:rsidP="00BE0EA1">
            <w:pPr>
              <w:rPr>
                <w:rFonts w:ascii="Garamond" w:hAnsi="Garamond"/>
                <w:b/>
                <w:bCs/>
                <w:sz w:val="24"/>
                <w:szCs w:val="24"/>
              </w:rPr>
            </w:pPr>
            <w:r w:rsidRPr="00990078">
              <w:rPr>
                <w:rFonts w:ascii="Garamond" w:hAnsi="Garamond"/>
                <w:b/>
                <w:bCs/>
                <w:sz w:val="24"/>
                <w:szCs w:val="24"/>
              </w:rPr>
              <w:t xml:space="preserve">Shared Findings </w:t>
            </w:r>
          </w:p>
        </w:tc>
        <w:tc>
          <w:tcPr>
            <w:tcW w:w="556" w:type="pct"/>
            <w:shd w:val="clear" w:color="auto" w:fill="E8E8E8" w:themeFill="background2"/>
          </w:tcPr>
          <w:p w14:paraId="4D9B688C" w14:textId="77777777" w:rsidR="00990078" w:rsidRPr="00990078" w:rsidRDefault="00990078" w:rsidP="00BE0EA1">
            <w:pPr>
              <w:rPr>
                <w:rFonts w:ascii="Garamond" w:hAnsi="Garamond"/>
                <w:b/>
                <w:bCs/>
                <w:sz w:val="24"/>
                <w:szCs w:val="24"/>
              </w:rPr>
            </w:pPr>
            <w:r w:rsidRPr="00990078">
              <w:rPr>
                <w:rFonts w:ascii="Garamond" w:hAnsi="Garamond"/>
                <w:b/>
                <w:bCs/>
                <w:sz w:val="24"/>
                <w:szCs w:val="24"/>
              </w:rPr>
              <w:t>Cost Savings</w:t>
            </w:r>
          </w:p>
        </w:tc>
        <w:tc>
          <w:tcPr>
            <w:tcW w:w="556" w:type="pct"/>
            <w:shd w:val="clear" w:color="auto" w:fill="E8E8E8" w:themeFill="background2"/>
          </w:tcPr>
          <w:p w14:paraId="5E06A803" w14:textId="77777777" w:rsidR="00990078" w:rsidRPr="00990078" w:rsidRDefault="00990078" w:rsidP="00BE0EA1">
            <w:pPr>
              <w:rPr>
                <w:rFonts w:ascii="Garamond" w:hAnsi="Garamond"/>
                <w:b/>
                <w:bCs/>
                <w:sz w:val="24"/>
                <w:szCs w:val="24"/>
              </w:rPr>
            </w:pPr>
            <w:r w:rsidRPr="00990078">
              <w:rPr>
                <w:rFonts w:ascii="Garamond" w:hAnsi="Garamond"/>
                <w:b/>
                <w:bCs/>
                <w:sz w:val="24"/>
                <w:szCs w:val="24"/>
              </w:rPr>
              <w:t>Limitations</w:t>
            </w:r>
          </w:p>
        </w:tc>
      </w:tr>
      <w:tr w:rsidR="00990078" w:rsidRPr="00990078" w14:paraId="544671B7" w14:textId="77777777" w:rsidTr="00990078">
        <w:tc>
          <w:tcPr>
            <w:tcW w:w="5000" w:type="pct"/>
            <w:gridSpan w:val="9"/>
            <w:shd w:val="clear" w:color="auto" w:fill="E8E8E8" w:themeFill="background2"/>
          </w:tcPr>
          <w:p w14:paraId="7ECB31E7" w14:textId="77777777" w:rsidR="00990078" w:rsidRPr="00990078" w:rsidRDefault="00990078" w:rsidP="00BE0EA1">
            <w:pPr>
              <w:rPr>
                <w:rFonts w:ascii="Garamond" w:hAnsi="Garamond"/>
                <w:b/>
                <w:bCs/>
                <w:sz w:val="24"/>
                <w:szCs w:val="24"/>
              </w:rPr>
            </w:pPr>
            <w:r w:rsidRPr="00990078">
              <w:rPr>
                <w:rFonts w:ascii="Garamond" w:hAnsi="Garamond"/>
                <w:b/>
                <w:bCs/>
                <w:sz w:val="24"/>
                <w:szCs w:val="24"/>
              </w:rPr>
              <w:t>Surgical and Clinical Safety Checklists: Clinical checklists improve safety and reduce complications, with strong potential for cost savings.</w:t>
            </w:r>
          </w:p>
        </w:tc>
      </w:tr>
      <w:tr w:rsidR="00990078" w:rsidRPr="00990078" w14:paraId="5610741B" w14:textId="77777777" w:rsidTr="00990078">
        <w:tc>
          <w:tcPr>
            <w:tcW w:w="555" w:type="pct"/>
          </w:tcPr>
          <w:p w14:paraId="2D854AA1"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Haynes, A. B., Weiser, T. G., Berry, W. R., Lipsitz, S. R., </w:t>
            </w:r>
            <w:proofErr w:type="spellStart"/>
            <w:r w:rsidRPr="00990078">
              <w:rPr>
                <w:rFonts w:ascii="Garamond" w:hAnsi="Garamond"/>
                <w:sz w:val="24"/>
                <w:szCs w:val="24"/>
              </w:rPr>
              <w:t>Breizat</w:t>
            </w:r>
            <w:proofErr w:type="spellEnd"/>
            <w:r w:rsidRPr="00990078">
              <w:rPr>
                <w:rFonts w:ascii="Garamond" w:hAnsi="Garamond"/>
                <w:sz w:val="24"/>
                <w:szCs w:val="24"/>
              </w:rPr>
              <w:t>, A.-H. S., Dellinger, E. P., ... Gawande, A. A. (2009). A surgical safety checklist to reduce morbidity and mortality in a global population. </w:t>
            </w:r>
            <w:r w:rsidRPr="00990078">
              <w:rPr>
                <w:rFonts w:ascii="Garamond" w:hAnsi="Garamond"/>
                <w:i/>
                <w:iCs/>
                <w:sz w:val="24"/>
                <w:szCs w:val="24"/>
              </w:rPr>
              <w:t xml:space="preserve">The New England Journal of </w:t>
            </w:r>
            <w:r w:rsidRPr="00990078">
              <w:rPr>
                <w:rFonts w:ascii="Garamond" w:hAnsi="Garamond"/>
                <w:i/>
                <w:iCs/>
                <w:sz w:val="24"/>
                <w:szCs w:val="24"/>
              </w:rPr>
              <w:lastRenderedPageBreak/>
              <w:t>Medicine, 360</w:t>
            </w:r>
            <w:r w:rsidRPr="00990078">
              <w:rPr>
                <w:rFonts w:ascii="Garamond" w:hAnsi="Garamond"/>
                <w:sz w:val="24"/>
                <w:szCs w:val="24"/>
              </w:rPr>
              <w:t>(5), 491–499. https://doi.org/10.1056/NEJMsa0810119</w:t>
            </w:r>
          </w:p>
          <w:p w14:paraId="6D8CD176" w14:textId="77777777" w:rsidR="00990078" w:rsidRPr="00990078" w:rsidRDefault="00990078" w:rsidP="00BE0EA1">
            <w:pPr>
              <w:rPr>
                <w:rFonts w:ascii="Garamond" w:hAnsi="Garamond"/>
                <w:sz w:val="24"/>
                <w:szCs w:val="24"/>
              </w:rPr>
            </w:pPr>
          </w:p>
          <w:p w14:paraId="4E4C86F0" w14:textId="77777777" w:rsidR="00990078" w:rsidRPr="00990078" w:rsidRDefault="00990078" w:rsidP="00BE0EA1">
            <w:pPr>
              <w:rPr>
                <w:rFonts w:ascii="Garamond" w:hAnsi="Garamond"/>
                <w:sz w:val="24"/>
                <w:szCs w:val="24"/>
              </w:rPr>
            </w:pPr>
          </w:p>
        </w:tc>
        <w:tc>
          <w:tcPr>
            <w:tcW w:w="556" w:type="pct"/>
          </w:tcPr>
          <w:p w14:paraId="68E194C1"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study involved:</w:t>
            </w:r>
          </w:p>
          <w:p w14:paraId="31149BB6" w14:textId="77777777" w:rsidR="00990078" w:rsidRPr="00990078" w:rsidRDefault="00990078" w:rsidP="00BE0EA1">
            <w:pPr>
              <w:rPr>
                <w:rFonts w:ascii="Garamond" w:hAnsi="Garamond"/>
                <w:sz w:val="24"/>
                <w:szCs w:val="24"/>
              </w:rPr>
            </w:pPr>
            <w:r w:rsidRPr="00990078">
              <w:rPr>
                <w:rFonts w:ascii="Garamond" w:hAnsi="Garamond"/>
                <w:sz w:val="24"/>
                <w:szCs w:val="24"/>
              </w:rPr>
              <w:t>8 hospitals across diverse global settings, including both developed and developing countries.</w:t>
            </w:r>
          </w:p>
          <w:p w14:paraId="7EA668A9" w14:textId="77777777" w:rsidR="00990078" w:rsidRPr="00990078" w:rsidRDefault="00990078" w:rsidP="00BE0EA1">
            <w:pPr>
              <w:rPr>
                <w:rFonts w:ascii="Garamond" w:hAnsi="Garamond"/>
                <w:sz w:val="24"/>
                <w:szCs w:val="24"/>
              </w:rPr>
            </w:pPr>
          </w:p>
          <w:p w14:paraId="510A098A"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Locations included: Toronto (Canada), New Delhi (India), Amman (Jordan), Auckland (New </w:t>
            </w:r>
            <w:r w:rsidRPr="00990078">
              <w:rPr>
                <w:rFonts w:ascii="Garamond" w:hAnsi="Garamond"/>
                <w:sz w:val="24"/>
                <w:szCs w:val="24"/>
              </w:rPr>
              <w:lastRenderedPageBreak/>
              <w:t xml:space="preserve">Zealand), Manila (Philippines), </w:t>
            </w:r>
            <w:proofErr w:type="spellStart"/>
            <w:r w:rsidRPr="00990078">
              <w:rPr>
                <w:rFonts w:ascii="Garamond" w:hAnsi="Garamond"/>
                <w:sz w:val="24"/>
                <w:szCs w:val="24"/>
              </w:rPr>
              <w:t>Ifakara</w:t>
            </w:r>
            <w:proofErr w:type="spellEnd"/>
            <w:r w:rsidRPr="00990078">
              <w:rPr>
                <w:rFonts w:ascii="Garamond" w:hAnsi="Garamond"/>
                <w:sz w:val="24"/>
                <w:szCs w:val="24"/>
              </w:rPr>
              <w:t xml:space="preserve"> (Tanzania), London (UK), and Seattle (USA).</w:t>
            </w:r>
          </w:p>
          <w:p w14:paraId="091CCD93" w14:textId="77777777" w:rsidR="00990078" w:rsidRPr="00990078" w:rsidRDefault="00990078" w:rsidP="00BE0EA1">
            <w:pPr>
              <w:ind w:left="720"/>
              <w:rPr>
                <w:rFonts w:ascii="Garamond" w:hAnsi="Garamond"/>
                <w:sz w:val="24"/>
                <w:szCs w:val="24"/>
              </w:rPr>
            </w:pPr>
          </w:p>
          <w:p w14:paraId="31073D18" w14:textId="77777777" w:rsidR="00990078" w:rsidRPr="00990078" w:rsidRDefault="00990078" w:rsidP="00BE0EA1">
            <w:pPr>
              <w:rPr>
                <w:rFonts w:ascii="Garamond" w:hAnsi="Garamond"/>
                <w:sz w:val="24"/>
                <w:szCs w:val="24"/>
              </w:rPr>
            </w:pPr>
            <w:r w:rsidRPr="00990078">
              <w:rPr>
                <w:rFonts w:ascii="Garamond" w:hAnsi="Garamond"/>
                <w:sz w:val="24"/>
                <w:szCs w:val="24"/>
              </w:rPr>
              <w:t>A total of 3,733 patients were enrolled before the implementation of the checklist, and 3,955 patients were enrolled after implementation.</w:t>
            </w:r>
          </w:p>
          <w:p w14:paraId="7DBFA080" w14:textId="77777777" w:rsidR="00990078" w:rsidRPr="00990078" w:rsidRDefault="00990078" w:rsidP="00BE0EA1">
            <w:pPr>
              <w:rPr>
                <w:rFonts w:ascii="Garamond" w:hAnsi="Garamond"/>
                <w:sz w:val="24"/>
                <w:szCs w:val="24"/>
              </w:rPr>
            </w:pPr>
          </w:p>
          <w:p w14:paraId="3B7D4616" w14:textId="77777777" w:rsidR="00990078" w:rsidRPr="00990078" w:rsidRDefault="00990078" w:rsidP="00BE0EA1">
            <w:pPr>
              <w:rPr>
                <w:rFonts w:ascii="Garamond" w:hAnsi="Garamond"/>
                <w:sz w:val="24"/>
                <w:szCs w:val="24"/>
              </w:rPr>
            </w:pPr>
            <w:r w:rsidRPr="00990078">
              <w:rPr>
                <w:rFonts w:ascii="Garamond" w:hAnsi="Garamond"/>
                <w:sz w:val="24"/>
                <w:szCs w:val="24"/>
              </w:rPr>
              <w:t>All patients underwent noncardiac surgery.</w:t>
            </w:r>
          </w:p>
          <w:p w14:paraId="4FF68FEF" w14:textId="77777777" w:rsidR="00990078" w:rsidRPr="00990078" w:rsidRDefault="00990078" w:rsidP="00BE0EA1">
            <w:pPr>
              <w:rPr>
                <w:rFonts w:ascii="Garamond" w:hAnsi="Garamond"/>
                <w:sz w:val="24"/>
                <w:szCs w:val="24"/>
              </w:rPr>
            </w:pPr>
          </w:p>
        </w:tc>
        <w:tc>
          <w:tcPr>
            <w:tcW w:w="556" w:type="pct"/>
          </w:tcPr>
          <w:p w14:paraId="40FCAAC7"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study used a before-and-after design across 8 hospitals worldwide. </w:t>
            </w:r>
          </w:p>
          <w:p w14:paraId="38305DCC" w14:textId="77777777" w:rsidR="00990078" w:rsidRPr="00990078" w:rsidRDefault="00990078" w:rsidP="00BE0EA1">
            <w:pPr>
              <w:rPr>
                <w:rFonts w:ascii="Garamond" w:hAnsi="Garamond"/>
                <w:sz w:val="24"/>
                <w:szCs w:val="24"/>
              </w:rPr>
            </w:pPr>
          </w:p>
          <w:p w14:paraId="328B3C38"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Each hospital implemented the WHO Surgical Safety Checklist, and researchers compared surgical outcomes before and after its use. </w:t>
            </w:r>
            <w:r w:rsidRPr="00990078">
              <w:rPr>
                <w:rFonts w:ascii="Garamond" w:hAnsi="Garamond"/>
                <w:sz w:val="24"/>
                <w:szCs w:val="24"/>
              </w:rPr>
              <w:lastRenderedPageBreak/>
              <w:t>They tracked complications and deaths in nearly 8,000 patients undergoing noncardiac surgery, using standardized data collection and statistical analysis to assess the checklist’s impact.</w:t>
            </w:r>
          </w:p>
        </w:tc>
        <w:tc>
          <w:tcPr>
            <w:tcW w:w="556" w:type="pct"/>
          </w:tcPr>
          <w:p w14:paraId="2291F368" w14:textId="77777777" w:rsidR="00990078" w:rsidRPr="00990078" w:rsidRDefault="00990078" w:rsidP="00BE0EA1">
            <w:pPr>
              <w:rPr>
                <w:rFonts w:ascii="Garamond" w:hAnsi="Garamond"/>
                <w:sz w:val="24"/>
                <w:szCs w:val="24"/>
              </w:rPr>
            </w:pPr>
            <w:r w:rsidRPr="00990078">
              <w:rPr>
                <w:rFonts w:ascii="Garamond" w:hAnsi="Garamond"/>
                <w:b/>
                <w:bCs/>
                <w:sz w:val="24"/>
                <w:szCs w:val="24"/>
              </w:rPr>
              <w:lastRenderedPageBreak/>
              <w:t>Independent Variable:</w:t>
            </w:r>
            <w:r w:rsidRPr="00990078">
              <w:rPr>
                <w:rFonts w:ascii="Garamond" w:hAnsi="Garamond"/>
                <w:sz w:val="24"/>
                <w:szCs w:val="24"/>
              </w:rPr>
              <w:br/>
              <w:t>Implementation of the WHO Surgical Safety Checklist (i.e., whether the checklist was used or not during surgery).</w:t>
            </w:r>
          </w:p>
          <w:p w14:paraId="5433A60F" w14:textId="77777777" w:rsidR="00990078" w:rsidRPr="00990078" w:rsidRDefault="00990078" w:rsidP="00BE0EA1">
            <w:pPr>
              <w:rPr>
                <w:rFonts w:ascii="Garamond" w:hAnsi="Garamond"/>
                <w:sz w:val="24"/>
                <w:szCs w:val="24"/>
              </w:rPr>
            </w:pPr>
            <w:r w:rsidRPr="00990078">
              <w:rPr>
                <w:rFonts w:ascii="Garamond" w:hAnsi="Garamond"/>
                <w:b/>
                <w:bCs/>
                <w:sz w:val="24"/>
                <w:szCs w:val="24"/>
              </w:rPr>
              <w:t>Dependent Variables</w:t>
            </w:r>
            <w:r w:rsidRPr="00990078">
              <w:rPr>
                <w:rFonts w:ascii="Garamond" w:hAnsi="Garamond"/>
                <w:sz w:val="24"/>
                <w:szCs w:val="24"/>
              </w:rPr>
              <w:t>:</w:t>
            </w:r>
          </w:p>
          <w:p w14:paraId="5C768003" w14:textId="77777777" w:rsidR="00990078" w:rsidRPr="00990078" w:rsidRDefault="00990078" w:rsidP="00BE0EA1">
            <w:pPr>
              <w:rPr>
                <w:rFonts w:ascii="Garamond" w:hAnsi="Garamond"/>
                <w:sz w:val="24"/>
                <w:szCs w:val="24"/>
              </w:rPr>
            </w:pPr>
            <w:r w:rsidRPr="00990078">
              <w:rPr>
                <w:rFonts w:ascii="Garamond" w:hAnsi="Garamond"/>
                <w:sz w:val="24"/>
                <w:szCs w:val="24"/>
              </w:rPr>
              <w:t>In-hospital mortality rate</w:t>
            </w:r>
          </w:p>
          <w:p w14:paraId="4919E8E0" w14:textId="77777777" w:rsidR="00990078" w:rsidRPr="00990078" w:rsidRDefault="00990078" w:rsidP="00BE0EA1">
            <w:pPr>
              <w:rPr>
                <w:rFonts w:ascii="Garamond" w:hAnsi="Garamond"/>
                <w:sz w:val="24"/>
                <w:szCs w:val="24"/>
              </w:rPr>
            </w:pPr>
            <w:r w:rsidRPr="00990078">
              <w:rPr>
                <w:rFonts w:ascii="Garamond" w:hAnsi="Garamond"/>
                <w:sz w:val="24"/>
                <w:szCs w:val="24"/>
              </w:rPr>
              <w:t>Rate of major complic</w:t>
            </w:r>
            <w:r w:rsidRPr="00990078">
              <w:rPr>
                <w:rFonts w:ascii="Garamond" w:hAnsi="Garamond"/>
                <w:sz w:val="24"/>
                <w:szCs w:val="24"/>
              </w:rPr>
              <w:lastRenderedPageBreak/>
              <w:t>ations (e.g., surgical site infections, pneumonia, unplanned return to the OR)</w:t>
            </w:r>
          </w:p>
          <w:p w14:paraId="0207C7E6" w14:textId="77777777" w:rsidR="00990078" w:rsidRPr="00990078" w:rsidRDefault="00990078" w:rsidP="00BE0EA1">
            <w:pPr>
              <w:rPr>
                <w:rFonts w:ascii="Garamond" w:hAnsi="Garamond"/>
                <w:sz w:val="24"/>
                <w:szCs w:val="24"/>
              </w:rPr>
            </w:pPr>
          </w:p>
        </w:tc>
        <w:tc>
          <w:tcPr>
            <w:tcW w:w="556" w:type="pct"/>
          </w:tcPr>
          <w:p w14:paraId="7F8C72F4"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central theme of the article is patient safety in surgery. Specifically, it explores how implementing a standardized surgical safety checklist can significantly reduce surgical complications and mortality across diverse global </w:t>
            </w:r>
            <w:r w:rsidRPr="00990078">
              <w:rPr>
                <w:rFonts w:ascii="Garamond" w:hAnsi="Garamond"/>
                <w:sz w:val="24"/>
                <w:szCs w:val="24"/>
              </w:rPr>
              <w:lastRenderedPageBreak/>
              <w:t>healthcare settings.</w:t>
            </w:r>
          </w:p>
        </w:tc>
        <w:tc>
          <w:tcPr>
            <w:tcW w:w="556" w:type="pct"/>
          </w:tcPr>
          <w:p w14:paraId="4A2307E2" w14:textId="77777777" w:rsidR="00990078" w:rsidRPr="00990078" w:rsidRDefault="00990078" w:rsidP="00BE0EA1">
            <w:pPr>
              <w:rPr>
                <w:rFonts w:ascii="Garamond" w:hAnsi="Garamond"/>
                <w:sz w:val="24"/>
                <w:szCs w:val="24"/>
              </w:rPr>
            </w:pPr>
            <w:r w:rsidRPr="00990078">
              <w:rPr>
                <w:rFonts w:ascii="Garamond" w:hAnsi="Garamond"/>
                <w:b/>
                <w:bCs/>
                <w:sz w:val="24"/>
                <w:szCs w:val="24"/>
              </w:rPr>
              <w:lastRenderedPageBreak/>
              <w:t>Reduction in Complications</w:t>
            </w:r>
            <w:r w:rsidRPr="00990078">
              <w:rPr>
                <w:rFonts w:ascii="Garamond" w:hAnsi="Garamond"/>
                <w:sz w:val="24"/>
                <w:szCs w:val="24"/>
              </w:rPr>
              <w:t>:</w:t>
            </w:r>
            <w:r w:rsidRPr="00990078">
              <w:rPr>
                <w:rFonts w:ascii="Garamond" w:hAnsi="Garamond"/>
                <w:sz w:val="24"/>
                <w:szCs w:val="24"/>
              </w:rPr>
              <w:br/>
              <w:t>The rate of major complications dropped from 11.0% before the checklist to 7.0% after its implementation.</w:t>
            </w:r>
          </w:p>
          <w:p w14:paraId="3CF242A4" w14:textId="77777777" w:rsidR="00990078" w:rsidRPr="00990078" w:rsidRDefault="00990078" w:rsidP="00BE0EA1">
            <w:pPr>
              <w:rPr>
                <w:rFonts w:ascii="Garamond" w:hAnsi="Garamond"/>
                <w:b/>
                <w:bCs/>
                <w:sz w:val="24"/>
                <w:szCs w:val="24"/>
              </w:rPr>
            </w:pPr>
          </w:p>
          <w:p w14:paraId="34F369BE" w14:textId="77777777" w:rsidR="00990078" w:rsidRPr="00990078" w:rsidRDefault="00990078" w:rsidP="00BE0EA1">
            <w:pPr>
              <w:rPr>
                <w:rFonts w:ascii="Garamond" w:hAnsi="Garamond"/>
                <w:sz w:val="24"/>
                <w:szCs w:val="24"/>
              </w:rPr>
            </w:pPr>
            <w:r w:rsidRPr="00990078">
              <w:rPr>
                <w:rFonts w:ascii="Garamond" w:hAnsi="Garamond"/>
                <w:b/>
                <w:bCs/>
                <w:sz w:val="24"/>
                <w:szCs w:val="24"/>
              </w:rPr>
              <w:t>Reduction in Mortality</w:t>
            </w:r>
            <w:r w:rsidRPr="00990078">
              <w:rPr>
                <w:rFonts w:ascii="Garamond" w:hAnsi="Garamond"/>
                <w:sz w:val="24"/>
                <w:szCs w:val="24"/>
              </w:rPr>
              <w:t>:</w:t>
            </w:r>
            <w:r w:rsidRPr="00990078">
              <w:rPr>
                <w:rFonts w:ascii="Garamond" w:hAnsi="Garamond"/>
                <w:sz w:val="24"/>
                <w:szCs w:val="24"/>
              </w:rPr>
              <w:br/>
              <w:t xml:space="preserve">In-hospital deaths decreased from 1.5% to 0.8% after the </w:t>
            </w:r>
            <w:r w:rsidRPr="00990078">
              <w:rPr>
                <w:rFonts w:ascii="Garamond" w:hAnsi="Garamond"/>
                <w:sz w:val="24"/>
                <w:szCs w:val="24"/>
              </w:rPr>
              <w:lastRenderedPageBreak/>
              <w:t>checklist was introduced.</w:t>
            </w:r>
          </w:p>
          <w:p w14:paraId="792C6188" w14:textId="77777777" w:rsidR="00990078" w:rsidRPr="00990078" w:rsidRDefault="00990078" w:rsidP="00BE0EA1">
            <w:pPr>
              <w:rPr>
                <w:rFonts w:ascii="Garamond" w:hAnsi="Garamond"/>
                <w:b/>
                <w:bCs/>
                <w:sz w:val="24"/>
                <w:szCs w:val="24"/>
              </w:rPr>
            </w:pPr>
          </w:p>
          <w:p w14:paraId="36A6917F" w14:textId="77777777" w:rsidR="00990078" w:rsidRPr="00990078" w:rsidRDefault="00990078" w:rsidP="00BE0EA1">
            <w:pPr>
              <w:rPr>
                <w:rFonts w:ascii="Garamond" w:hAnsi="Garamond"/>
                <w:sz w:val="24"/>
                <w:szCs w:val="24"/>
              </w:rPr>
            </w:pPr>
            <w:r w:rsidRPr="00990078">
              <w:rPr>
                <w:rFonts w:ascii="Garamond" w:hAnsi="Garamond"/>
                <w:b/>
                <w:bCs/>
                <w:sz w:val="24"/>
                <w:szCs w:val="24"/>
              </w:rPr>
              <w:t>Consistent Impact Across Settings</w:t>
            </w:r>
            <w:r w:rsidRPr="00990078">
              <w:rPr>
                <w:rFonts w:ascii="Garamond" w:hAnsi="Garamond"/>
                <w:sz w:val="24"/>
                <w:szCs w:val="24"/>
              </w:rPr>
              <w:t>:</w:t>
            </w:r>
            <w:r w:rsidRPr="00990078">
              <w:rPr>
                <w:rFonts w:ascii="Garamond" w:hAnsi="Garamond"/>
                <w:sz w:val="24"/>
                <w:szCs w:val="24"/>
              </w:rPr>
              <w:br/>
              <w:t>The checklist was effective in both high-income and low-income countries, showing its global applicability.</w:t>
            </w:r>
          </w:p>
          <w:p w14:paraId="2F288EFA" w14:textId="77777777" w:rsidR="00990078" w:rsidRPr="00990078" w:rsidRDefault="00990078" w:rsidP="00BE0EA1">
            <w:pPr>
              <w:rPr>
                <w:rFonts w:ascii="Garamond" w:hAnsi="Garamond"/>
                <w:b/>
                <w:bCs/>
                <w:sz w:val="24"/>
                <w:szCs w:val="24"/>
              </w:rPr>
            </w:pPr>
          </w:p>
          <w:p w14:paraId="4201DE7E" w14:textId="77777777" w:rsidR="00990078" w:rsidRPr="00990078" w:rsidRDefault="00990078" w:rsidP="00BE0EA1">
            <w:pPr>
              <w:rPr>
                <w:rFonts w:ascii="Garamond" w:hAnsi="Garamond"/>
                <w:sz w:val="24"/>
                <w:szCs w:val="24"/>
              </w:rPr>
            </w:pPr>
            <w:r w:rsidRPr="00990078">
              <w:rPr>
                <w:rFonts w:ascii="Garamond" w:hAnsi="Garamond"/>
                <w:b/>
                <w:bCs/>
                <w:sz w:val="24"/>
                <w:szCs w:val="24"/>
              </w:rPr>
              <w:t>Improved Team Communication</w:t>
            </w:r>
            <w:r w:rsidRPr="00990078">
              <w:rPr>
                <w:rFonts w:ascii="Garamond" w:hAnsi="Garamond"/>
                <w:sz w:val="24"/>
                <w:szCs w:val="24"/>
              </w:rPr>
              <w:br/>
              <w:t xml:space="preserve">The checklist fostered better communication among surgical teams, which contributed to </w:t>
            </w:r>
            <w:r w:rsidRPr="00990078">
              <w:rPr>
                <w:rFonts w:ascii="Garamond" w:hAnsi="Garamond"/>
                <w:sz w:val="24"/>
                <w:szCs w:val="24"/>
              </w:rPr>
              <w:lastRenderedPageBreak/>
              <w:t>safer procedures.</w:t>
            </w:r>
          </w:p>
          <w:p w14:paraId="5CC16129" w14:textId="77777777" w:rsidR="00990078" w:rsidRPr="00990078" w:rsidRDefault="00990078" w:rsidP="00BE0EA1">
            <w:pPr>
              <w:rPr>
                <w:rFonts w:ascii="Garamond" w:hAnsi="Garamond"/>
                <w:b/>
                <w:bCs/>
                <w:sz w:val="24"/>
                <w:szCs w:val="24"/>
              </w:rPr>
            </w:pPr>
          </w:p>
          <w:p w14:paraId="01B9567D" w14:textId="77777777" w:rsidR="00990078" w:rsidRPr="00990078" w:rsidRDefault="00990078" w:rsidP="00BE0EA1">
            <w:pPr>
              <w:rPr>
                <w:rFonts w:ascii="Garamond" w:hAnsi="Garamond"/>
                <w:sz w:val="24"/>
                <w:szCs w:val="24"/>
              </w:rPr>
            </w:pPr>
            <w:r w:rsidRPr="00990078">
              <w:rPr>
                <w:rFonts w:ascii="Garamond" w:hAnsi="Garamond"/>
                <w:b/>
                <w:bCs/>
                <w:sz w:val="24"/>
                <w:szCs w:val="24"/>
              </w:rPr>
              <w:t>No Significant Increase in Time or Cost</w:t>
            </w:r>
            <w:r w:rsidRPr="00990078">
              <w:rPr>
                <w:rFonts w:ascii="Garamond" w:hAnsi="Garamond"/>
                <w:sz w:val="24"/>
                <w:szCs w:val="24"/>
              </w:rPr>
              <w:t>:</w:t>
            </w:r>
            <w:r w:rsidRPr="00990078">
              <w:rPr>
                <w:rFonts w:ascii="Garamond" w:hAnsi="Garamond"/>
                <w:sz w:val="24"/>
                <w:szCs w:val="24"/>
              </w:rPr>
              <w:br/>
              <w:t>Implementing the checklist did not significantly increase surgical time or hospital costs.</w:t>
            </w:r>
          </w:p>
          <w:p w14:paraId="3E379ECD" w14:textId="77777777" w:rsidR="00990078" w:rsidRPr="00990078" w:rsidRDefault="00990078" w:rsidP="00BE0EA1">
            <w:pPr>
              <w:rPr>
                <w:rFonts w:ascii="Garamond" w:hAnsi="Garamond"/>
                <w:sz w:val="24"/>
                <w:szCs w:val="24"/>
              </w:rPr>
            </w:pPr>
          </w:p>
        </w:tc>
        <w:tc>
          <w:tcPr>
            <w:tcW w:w="556" w:type="pct"/>
          </w:tcPr>
          <w:p w14:paraId="76D3EA73"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Checklist use significantly reduced complications and deaths.</w:t>
            </w:r>
          </w:p>
          <w:p w14:paraId="3AD635AA" w14:textId="77777777" w:rsidR="00990078" w:rsidRPr="00990078" w:rsidRDefault="00990078" w:rsidP="00BE0EA1">
            <w:pPr>
              <w:rPr>
                <w:rFonts w:ascii="Garamond" w:hAnsi="Garamond"/>
                <w:sz w:val="24"/>
                <w:szCs w:val="24"/>
              </w:rPr>
            </w:pPr>
            <w:r w:rsidRPr="00990078">
              <w:rPr>
                <w:rFonts w:ascii="Garamond" w:hAnsi="Garamond"/>
                <w:sz w:val="24"/>
                <w:szCs w:val="24"/>
              </w:rPr>
              <w:t>Complication rate dropped from 11.0% to 7.0%</w:t>
            </w:r>
          </w:p>
          <w:p w14:paraId="46D58636" w14:textId="77777777" w:rsidR="00990078" w:rsidRPr="00990078" w:rsidRDefault="00990078" w:rsidP="00BE0EA1">
            <w:pPr>
              <w:rPr>
                <w:rFonts w:ascii="Garamond" w:hAnsi="Garamond"/>
                <w:sz w:val="24"/>
                <w:szCs w:val="24"/>
              </w:rPr>
            </w:pPr>
            <w:r w:rsidRPr="00990078">
              <w:rPr>
                <w:rFonts w:ascii="Garamond" w:hAnsi="Garamond"/>
                <w:sz w:val="24"/>
                <w:szCs w:val="24"/>
              </w:rPr>
              <w:t>In-hospital mortality decreased from 1.5% to 0.8%</w:t>
            </w:r>
          </w:p>
          <w:p w14:paraId="088A9C17" w14:textId="77777777" w:rsidR="00990078" w:rsidRPr="00990078" w:rsidRDefault="00990078" w:rsidP="00BE0EA1">
            <w:pPr>
              <w:rPr>
                <w:rFonts w:ascii="Garamond" w:hAnsi="Garamond"/>
                <w:sz w:val="24"/>
                <w:szCs w:val="24"/>
              </w:rPr>
            </w:pPr>
          </w:p>
          <w:p w14:paraId="4892C2FF"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Improvements were consistent across diverse </w:t>
            </w:r>
            <w:r w:rsidRPr="00990078">
              <w:rPr>
                <w:rFonts w:ascii="Garamond" w:hAnsi="Garamond"/>
                <w:sz w:val="24"/>
                <w:szCs w:val="24"/>
              </w:rPr>
              <w:lastRenderedPageBreak/>
              <w:t>hospital settings, including both high-income and low-income countries.</w:t>
            </w:r>
          </w:p>
          <w:p w14:paraId="414F83A8" w14:textId="77777777" w:rsidR="00990078" w:rsidRPr="00990078" w:rsidRDefault="00990078" w:rsidP="00BE0EA1">
            <w:pPr>
              <w:rPr>
                <w:rFonts w:ascii="Garamond" w:hAnsi="Garamond"/>
                <w:sz w:val="24"/>
                <w:szCs w:val="24"/>
              </w:rPr>
            </w:pPr>
          </w:p>
          <w:p w14:paraId="227AA7C3" w14:textId="77777777" w:rsidR="00990078" w:rsidRPr="00990078" w:rsidRDefault="00990078" w:rsidP="00BE0EA1">
            <w:pPr>
              <w:rPr>
                <w:rFonts w:ascii="Garamond" w:hAnsi="Garamond"/>
                <w:sz w:val="24"/>
                <w:szCs w:val="24"/>
              </w:rPr>
            </w:pPr>
            <w:r w:rsidRPr="00990078">
              <w:rPr>
                <w:rFonts w:ascii="Garamond" w:hAnsi="Garamond"/>
                <w:sz w:val="24"/>
                <w:szCs w:val="24"/>
              </w:rPr>
              <w:t>The checklist helped ensure:</w:t>
            </w:r>
          </w:p>
          <w:p w14:paraId="5682B49D" w14:textId="77777777" w:rsidR="00990078" w:rsidRPr="00990078" w:rsidRDefault="00990078" w:rsidP="00BE0EA1">
            <w:pPr>
              <w:rPr>
                <w:rFonts w:ascii="Garamond" w:hAnsi="Garamond"/>
                <w:sz w:val="24"/>
                <w:szCs w:val="24"/>
              </w:rPr>
            </w:pPr>
            <w:r w:rsidRPr="00990078">
              <w:rPr>
                <w:rFonts w:ascii="Garamond" w:hAnsi="Garamond"/>
                <w:sz w:val="24"/>
                <w:szCs w:val="24"/>
              </w:rPr>
              <w:t>Proper identification of patients and surgical sites</w:t>
            </w:r>
          </w:p>
          <w:p w14:paraId="6F57BD87" w14:textId="77777777" w:rsidR="00990078" w:rsidRPr="00990078" w:rsidRDefault="00990078" w:rsidP="00BE0EA1">
            <w:pPr>
              <w:rPr>
                <w:rFonts w:ascii="Garamond" w:hAnsi="Garamond"/>
                <w:sz w:val="24"/>
                <w:szCs w:val="24"/>
              </w:rPr>
            </w:pPr>
            <w:r w:rsidRPr="00990078">
              <w:rPr>
                <w:rFonts w:ascii="Garamond" w:hAnsi="Garamond"/>
                <w:sz w:val="24"/>
                <w:szCs w:val="24"/>
              </w:rPr>
              <w:t>Availability of essential equipment</w:t>
            </w:r>
          </w:p>
          <w:p w14:paraId="140EE3B9" w14:textId="77777777" w:rsidR="00990078" w:rsidRPr="00990078" w:rsidRDefault="00990078" w:rsidP="00BE0EA1">
            <w:pPr>
              <w:rPr>
                <w:rFonts w:ascii="Garamond" w:hAnsi="Garamond"/>
                <w:sz w:val="24"/>
                <w:szCs w:val="24"/>
              </w:rPr>
            </w:pPr>
            <w:r w:rsidRPr="00990078">
              <w:rPr>
                <w:rFonts w:ascii="Garamond" w:hAnsi="Garamond"/>
                <w:sz w:val="24"/>
                <w:szCs w:val="24"/>
              </w:rPr>
              <w:t>Better communication among surgical teams</w:t>
            </w:r>
          </w:p>
          <w:p w14:paraId="1A42F777" w14:textId="77777777" w:rsidR="00990078" w:rsidRPr="00990078" w:rsidRDefault="00990078" w:rsidP="00BE0EA1">
            <w:pPr>
              <w:rPr>
                <w:rFonts w:ascii="Garamond" w:hAnsi="Garamond"/>
                <w:sz w:val="24"/>
                <w:szCs w:val="24"/>
              </w:rPr>
            </w:pPr>
          </w:p>
          <w:p w14:paraId="161C601B"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The study concluded that a simple, low-cost intervention like a checklist can lead to substantial </w:t>
            </w:r>
            <w:r w:rsidRPr="00990078">
              <w:rPr>
                <w:rFonts w:ascii="Garamond" w:hAnsi="Garamond"/>
                <w:sz w:val="24"/>
                <w:szCs w:val="24"/>
              </w:rPr>
              <w:lastRenderedPageBreak/>
              <w:t>improvements in surgical safety worldwide.</w:t>
            </w:r>
          </w:p>
          <w:p w14:paraId="599FB769" w14:textId="77777777" w:rsidR="00990078" w:rsidRPr="00990078" w:rsidRDefault="00990078" w:rsidP="00BE0EA1">
            <w:pPr>
              <w:rPr>
                <w:rFonts w:ascii="Garamond" w:hAnsi="Garamond"/>
                <w:sz w:val="24"/>
                <w:szCs w:val="24"/>
              </w:rPr>
            </w:pPr>
          </w:p>
        </w:tc>
        <w:tc>
          <w:tcPr>
            <w:tcW w:w="556" w:type="pct"/>
          </w:tcPr>
          <w:p w14:paraId="5F4C1B8C"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rate of major complications dropped from 11.0% to 7.0%, a 36% reduction. Fewer complications mean less need for additional treatments, medications, and surgeries, shorter hospital stays, and lower readmission rates.</w:t>
            </w:r>
          </w:p>
          <w:p w14:paraId="05C9B2FD" w14:textId="77777777" w:rsidR="00990078" w:rsidRPr="00990078" w:rsidRDefault="00990078" w:rsidP="00BE0EA1">
            <w:pPr>
              <w:rPr>
                <w:rFonts w:ascii="Garamond" w:hAnsi="Garamond"/>
                <w:sz w:val="24"/>
                <w:szCs w:val="24"/>
              </w:rPr>
            </w:pPr>
          </w:p>
          <w:p w14:paraId="25E44152"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Deaths decreased from 1.5% to 0.8%, a 47% reduction, which implies improved patient outcomes, reduced legal and malpractice costs, and enhanced hospital reputation.</w:t>
            </w:r>
          </w:p>
          <w:p w14:paraId="40AA9D1D" w14:textId="77777777" w:rsidR="00990078" w:rsidRPr="00990078" w:rsidRDefault="00990078" w:rsidP="00BE0EA1">
            <w:pPr>
              <w:rPr>
                <w:rFonts w:ascii="Garamond" w:hAnsi="Garamond"/>
                <w:sz w:val="24"/>
                <w:szCs w:val="24"/>
              </w:rPr>
            </w:pPr>
          </w:p>
          <w:p w14:paraId="6C5A2F75"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The checklist is a simple, low-tech intervention requiring minimal resources which were mostly training and workflow adjustments making it highly </w:t>
            </w:r>
            <w:r w:rsidRPr="00990078">
              <w:rPr>
                <w:rFonts w:ascii="Garamond" w:hAnsi="Garamond"/>
                <w:sz w:val="24"/>
                <w:szCs w:val="24"/>
              </w:rPr>
              <w:lastRenderedPageBreak/>
              <w:t>cost-effective.</w:t>
            </w:r>
          </w:p>
          <w:p w14:paraId="5ADB981C" w14:textId="77777777" w:rsidR="00990078" w:rsidRPr="00990078" w:rsidRDefault="00990078" w:rsidP="00BE0EA1">
            <w:pPr>
              <w:rPr>
                <w:rFonts w:ascii="Garamond" w:hAnsi="Garamond"/>
                <w:sz w:val="24"/>
                <w:szCs w:val="24"/>
              </w:rPr>
            </w:pPr>
          </w:p>
        </w:tc>
        <w:tc>
          <w:tcPr>
            <w:tcW w:w="556" w:type="pct"/>
          </w:tcPr>
          <w:p w14:paraId="356746B6"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Although the findings demonstrated a significant reduction in surgical complications and mortality, the study had several limitations. It used a before-and-after design rather than a randomized controlled trial, which </w:t>
            </w:r>
            <w:r w:rsidRPr="00990078">
              <w:rPr>
                <w:rFonts w:ascii="Garamond" w:hAnsi="Garamond"/>
                <w:sz w:val="24"/>
                <w:szCs w:val="24"/>
              </w:rPr>
              <w:lastRenderedPageBreak/>
              <w:t xml:space="preserve">makes it difficult to fully rule out other factors that may have influenced outcomes. The participating hospitals were diverse in geography and resources, but the sample was limited to eight sites, which may affect generalizability to all healthcare systems. Additionally, the study did not measure long-term sustainability of </w:t>
            </w:r>
            <w:r w:rsidRPr="00990078">
              <w:rPr>
                <w:rFonts w:ascii="Garamond" w:hAnsi="Garamond"/>
                <w:sz w:val="24"/>
                <w:szCs w:val="24"/>
              </w:rPr>
              <w:lastRenderedPageBreak/>
              <w:t>checklist use or the degree of staff adherence after the initial implementation period.</w:t>
            </w:r>
          </w:p>
        </w:tc>
      </w:tr>
      <w:tr w:rsidR="00990078" w:rsidRPr="00990078" w14:paraId="4213B7ED" w14:textId="77777777" w:rsidTr="00990078">
        <w:tc>
          <w:tcPr>
            <w:tcW w:w="555" w:type="pct"/>
          </w:tcPr>
          <w:p w14:paraId="50430E4B" w14:textId="77777777" w:rsidR="00990078" w:rsidRPr="00990078" w:rsidRDefault="00990078" w:rsidP="00BE0EA1">
            <w:pPr>
              <w:rPr>
                <w:rFonts w:ascii="Garamond" w:hAnsi="Garamond"/>
                <w:sz w:val="24"/>
                <w:szCs w:val="24"/>
              </w:rPr>
            </w:pPr>
          </w:p>
          <w:p w14:paraId="37882EF6" w14:textId="77777777" w:rsidR="00990078" w:rsidRPr="00990078" w:rsidRDefault="00990078" w:rsidP="00BE0EA1">
            <w:pPr>
              <w:rPr>
                <w:rFonts w:ascii="Garamond" w:hAnsi="Garamond"/>
                <w:sz w:val="24"/>
                <w:szCs w:val="24"/>
              </w:rPr>
            </w:pPr>
            <w:r w:rsidRPr="00990078">
              <w:rPr>
                <w:rFonts w:ascii="Garamond" w:hAnsi="Garamond"/>
                <w:sz w:val="24"/>
                <w:szCs w:val="24"/>
              </w:rPr>
              <w:t>Treadwell, J. R., Lucas, S., &amp; Tsou, A. Y. (2014). Surgical checklists: A systematic review of impacts and implementation. </w:t>
            </w:r>
            <w:r w:rsidRPr="00990078">
              <w:rPr>
                <w:rFonts w:ascii="Garamond" w:hAnsi="Garamond"/>
                <w:i/>
                <w:iCs/>
                <w:sz w:val="24"/>
                <w:szCs w:val="24"/>
              </w:rPr>
              <w:t>BMJ Quality &amp; Safety</w:t>
            </w:r>
            <w:r w:rsidRPr="00990078">
              <w:rPr>
                <w:rFonts w:ascii="Garamond" w:hAnsi="Garamond"/>
                <w:sz w:val="24"/>
                <w:szCs w:val="24"/>
              </w:rPr>
              <w:t xml:space="preserve">, 23(4), </w:t>
            </w:r>
            <w:r w:rsidRPr="00990078">
              <w:rPr>
                <w:rFonts w:ascii="Garamond" w:hAnsi="Garamond"/>
                <w:sz w:val="24"/>
                <w:szCs w:val="24"/>
              </w:rPr>
              <w:lastRenderedPageBreak/>
              <w:t>299–318. https://doi.org/10.1136/bmjqs-2012-001797</w:t>
            </w:r>
          </w:p>
          <w:p w14:paraId="7E7E536D" w14:textId="77777777" w:rsidR="00990078" w:rsidRPr="00990078" w:rsidRDefault="00990078" w:rsidP="00BE0EA1">
            <w:pPr>
              <w:rPr>
                <w:rFonts w:ascii="Garamond" w:hAnsi="Garamond"/>
                <w:sz w:val="24"/>
                <w:szCs w:val="24"/>
              </w:rPr>
            </w:pPr>
          </w:p>
          <w:p w14:paraId="4F53886A" w14:textId="77777777" w:rsidR="00990078" w:rsidRPr="00990078" w:rsidRDefault="00990078" w:rsidP="00BE0EA1">
            <w:pPr>
              <w:rPr>
                <w:rFonts w:ascii="Garamond" w:hAnsi="Garamond"/>
                <w:sz w:val="24"/>
                <w:szCs w:val="24"/>
              </w:rPr>
            </w:pPr>
          </w:p>
        </w:tc>
        <w:tc>
          <w:tcPr>
            <w:tcW w:w="556" w:type="pct"/>
          </w:tcPr>
          <w:p w14:paraId="52A5223F"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review included thirty-three individual studies conducted in surgical settings. These studies came from hospitals across a variety of countries, includin</w:t>
            </w:r>
            <w:r w:rsidRPr="00990078">
              <w:rPr>
                <w:rFonts w:ascii="Garamond" w:hAnsi="Garamond"/>
                <w:sz w:val="24"/>
                <w:szCs w:val="24"/>
              </w:rPr>
              <w:lastRenderedPageBreak/>
              <w:t xml:space="preserve">g both high-income and some low- and middle-income settings. The patient population consisted of surgical inpatients undergoing a wide range of operations, including elective, urgent, and some emergency procedures. The checklists evaluated included the WHO Surgical Safety Checklist, the SURPASS </w:t>
            </w:r>
            <w:r w:rsidRPr="00990078">
              <w:rPr>
                <w:rFonts w:ascii="Garamond" w:hAnsi="Garamond"/>
                <w:sz w:val="24"/>
                <w:szCs w:val="24"/>
              </w:rPr>
              <w:lastRenderedPageBreak/>
              <w:t>checklist, and wrong-site surgery checklists.</w:t>
            </w:r>
          </w:p>
          <w:p w14:paraId="241FBFA1" w14:textId="77777777" w:rsidR="00990078" w:rsidRPr="00990078" w:rsidRDefault="00990078" w:rsidP="00BE0EA1">
            <w:pPr>
              <w:rPr>
                <w:rFonts w:ascii="Garamond" w:hAnsi="Garamond"/>
                <w:sz w:val="24"/>
                <w:szCs w:val="24"/>
              </w:rPr>
            </w:pPr>
          </w:p>
          <w:p w14:paraId="710736D0" w14:textId="77777777" w:rsidR="00990078" w:rsidRPr="00990078" w:rsidRDefault="00990078" w:rsidP="00BE0EA1">
            <w:pPr>
              <w:rPr>
                <w:rFonts w:ascii="Garamond" w:hAnsi="Garamond"/>
                <w:sz w:val="24"/>
                <w:szCs w:val="24"/>
              </w:rPr>
            </w:pPr>
          </w:p>
        </w:tc>
        <w:tc>
          <w:tcPr>
            <w:tcW w:w="556" w:type="pct"/>
          </w:tcPr>
          <w:p w14:paraId="3CCEB3A9"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This was a systematic review. The authors searched multiple databases including MEDLINE, CINAHL, EMBASE, and the Cochrane Databas</w:t>
            </w:r>
            <w:r w:rsidRPr="00990078">
              <w:rPr>
                <w:rFonts w:ascii="Garamond" w:hAnsi="Garamond"/>
                <w:sz w:val="24"/>
                <w:szCs w:val="24"/>
              </w:rPr>
              <w:lastRenderedPageBreak/>
              <w:t xml:space="preserve">e of Controlled Trials. The search covered studies published between January 1, 2000, and October 26, 2012. To be included, articles had to describe actual use and implementation of surgical safety checklists rather than theoretical discussions. The review focused on checklists such as the WHO Surgical Safety Checklist, </w:t>
            </w:r>
            <w:r w:rsidRPr="00990078">
              <w:rPr>
                <w:rFonts w:ascii="Garamond" w:hAnsi="Garamond"/>
                <w:sz w:val="24"/>
                <w:szCs w:val="24"/>
              </w:rPr>
              <w:lastRenderedPageBreak/>
              <w:t xml:space="preserve">SURPASS, and wrong-site surgery checklists, while excluding </w:t>
            </w:r>
            <w:proofErr w:type="spellStart"/>
            <w:r w:rsidRPr="00990078">
              <w:rPr>
                <w:rFonts w:ascii="Garamond" w:hAnsi="Garamond"/>
                <w:sz w:val="24"/>
                <w:szCs w:val="24"/>
              </w:rPr>
              <w:t>anaesthesia</w:t>
            </w:r>
            <w:proofErr w:type="spellEnd"/>
            <w:r w:rsidRPr="00990078">
              <w:rPr>
                <w:rFonts w:ascii="Garamond" w:hAnsi="Garamond"/>
                <w:sz w:val="24"/>
                <w:szCs w:val="24"/>
              </w:rPr>
              <w:t xml:space="preserve"> equipment checklists. Outcomes assessed across the included studies involved adverse events such as complications and mortality, detection of safety hazards, and communication among surgical teams. In addition to outcomes, the authors </w:t>
            </w:r>
            <w:r w:rsidRPr="00990078">
              <w:rPr>
                <w:rFonts w:ascii="Garamond" w:hAnsi="Garamond"/>
                <w:sz w:val="24"/>
                <w:szCs w:val="24"/>
              </w:rPr>
              <w:lastRenderedPageBreak/>
              <w:t>also examined implementation factors including facilitators, barriers, adherence, and sustainability. Data were extracted regarding the type of checklist, setting, implementation approach, and measured outcomes, and then synthesized across studies to identify overall patterns.</w:t>
            </w:r>
          </w:p>
          <w:p w14:paraId="60CF3C06" w14:textId="77777777" w:rsidR="00990078" w:rsidRPr="00990078" w:rsidRDefault="00990078" w:rsidP="00BE0EA1">
            <w:pPr>
              <w:rPr>
                <w:rFonts w:ascii="Garamond" w:hAnsi="Garamond"/>
                <w:sz w:val="24"/>
                <w:szCs w:val="24"/>
              </w:rPr>
            </w:pPr>
          </w:p>
        </w:tc>
        <w:tc>
          <w:tcPr>
            <w:tcW w:w="556" w:type="pct"/>
          </w:tcPr>
          <w:p w14:paraId="093EA606" w14:textId="77777777" w:rsidR="00990078" w:rsidRPr="00990078" w:rsidRDefault="00990078" w:rsidP="00BE0EA1">
            <w:pPr>
              <w:rPr>
                <w:rFonts w:ascii="Garamond" w:hAnsi="Garamond"/>
                <w:sz w:val="24"/>
                <w:szCs w:val="24"/>
              </w:rPr>
            </w:pPr>
            <w:r w:rsidRPr="00990078">
              <w:rPr>
                <w:rFonts w:ascii="Garamond" w:hAnsi="Garamond"/>
                <w:b/>
                <w:bCs/>
                <w:sz w:val="24"/>
                <w:szCs w:val="24"/>
              </w:rPr>
              <w:lastRenderedPageBreak/>
              <w:t>Independent Variable</w:t>
            </w:r>
            <w:r w:rsidRPr="00990078">
              <w:rPr>
                <w:rFonts w:ascii="Garamond" w:hAnsi="Garamond"/>
                <w:sz w:val="24"/>
                <w:szCs w:val="24"/>
              </w:rPr>
              <w:br/>
              <w:t xml:space="preserve">The independent variable is the implementation of surgical safety checklists. This includes the WHO Surgical Safety Checklist, </w:t>
            </w:r>
            <w:r w:rsidRPr="00990078">
              <w:rPr>
                <w:rFonts w:ascii="Garamond" w:hAnsi="Garamond"/>
                <w:sz w:val="24"/>
                <w:szCs w:val="24"/>
              </w:rPr>
              <w:lastRenderedPageBreak/>
              <w:t>SURPASS checklist, and wrong-site surgery checklists. In the studies reviewed, the presence or absence of checklist use, or the way the checklist was implemented, served as the primary intervention or exposure.</w:t>
            </w:r>
          </w:p>
          <w:p w14:paraId="4373E09D" w14:textId="77777777" w:rsidR="00990078" w:rsidRPr="00990078" w:rsidRDefault="00990078" w:rsidP="00BE0EA1">
            <w:pPr>
              <w:rPr>
                <w:rFonts w:ascii="Garamond" w:hAnsi="Garamond"/>
                <w:sz w:val="24"/>
                <w:szCs w:val="24"/>
              </w:rPr>
            </w:pPr>
            <w:r w:rsidRPr="00990078">
              <w:rPr>
                <w:rFonts w:ascii="Garamond" w:hAnsi="Garamond"/>
                <w:b/>
                <w:bCs/>
                <w:sz w:val="24"/>
                <w:szCs w:val="24"/>
              </w:rPr>
              <w:t>Dependent Variables</w:t>
            </w:r>
            <w:r w:rsidRPr="00990078">
              <w:rPr>
                <w:rFonts w:ascii="Garamond" w:hAnsi="Garamond"/>
                <w:sz w:val="24"/>
                <w:szCs w:val="24"/>
              </w:rPr>
              <w:br/>
              <w:t xml:space="preserve">The dependent variables are the outcomes measured after checklist implementation. </w:t>
            </w:r>
            <w:r w:rsidRPr="00990078">
              <w:rPr>
                <w:rFonts w:ascii="Garamond" w:hAnsi="Garamond"/>
                <w:sz w:val="24"/>
                <w:szCs w:val="24"/>
              </w:rPr>
              <w:lastRenderedPageBreak/>
              <w:t>These included:</w:t>
            </w:r>
          </w:p>
          <w:p w14:paraId="4F7CB5DC" w14:textId="77777777" w:rsidR="00990078" w:rsidRPr="00990078" w:rsidRDefault="00990078" w:rsidP="00BE0EA1">
            <w:pPr>
              <w:rPr>
                <w:rFonts w:ascii="Garamond" w:hAnsi="Garamond"/>
                <w:sz w:val="24"/>
                <w:szCs w:val="24"/>
              </w:rPr>
            </w:pPr>
          </w:p>
          <w:p w14:paraId="7E59960E" w14:textId="77777777" w:rsidR="00990078" w:rsidRPr="00990078" w:rsidRDefault="00990078" w:rsidP="00BE0EA1">
            <w:pPr>
              <w:rPr>
                <w:rFonts w:ascii="Garamond" w:hAnsi="Garamond"/>
                <w:sz w:val="24"/>
                <w:szCs w:val="24"/>
              </w:rPr>
            </w:pPr>
            <w:r w:rsidRPr="00990078">
              <w:rPr>
                <w:rFonts w:ascii="Garamond" w:hAnsi="Garamond"/>
                <w:sz w:val="24"/>
                <w:szCs w:val="24"/>
              </w:rPr>
              <w:t>Clinical outcomes such as complication rates, adverse events, and mortality.</w:t>
            </w:r>
          </w:p>
          <w:p w14:paraId="4DDE8ED2" w14:textId="77777777" w:rsidR="00990078" w:rsidRPr="00990078" w:rsidRDefault="00990078" w:rsidP="00BE0EA1">
            <w:pPr>
              <w:rPr>
                <w:rFonts w:ascii="Garamond" w:hAnsi="Garamond"/>
                <w:sz w:val="24"/>
                <w:szCs w:val="24"/>
              </w:rPr>
            </w:pPr>
          </w:p>
          <w:p w14:paraId="6E19F251" w14:textId="77777777" w:rsidR="00990078" w:rsidRPr="00990078" w:rsidRDefault="00990078" w:rsidP="00BE0EA1">
            <w:pPr>
              <w:rPr>
                <w:rFonts w:ascii="Garamond" w:hAnsi="Garamond"/>
                <w:sz w:val="24"/>
                <w:szCs w:val="24"/>
              </w:rPr>
            </w:pPr>
            <w:r w:rsidRPr="00990078">
              <w:rPr>
                <w:rFonts w:ascii="Garamond" w:hAnsi="Garamond"/>
                <w:sz w:val="24"/>
                <w:szCs w:val="24"/>
              </w:rPr>
              <w:t>Process outcomes such as detection of safety hazards, adherence to protocols, and communication among surgical teams.</w:t>
            </w:r>
          </w:p>
          <w:p w14:paraId="7471FA12" w14:textId="77777777" w:rsidR="00990078" w:rsidRPr="00990078" w:rsidRDefault="00990078" w:rsidP="00BE0EA1">
            <w:pPr>
              <w:rPr>
                <w:rFonts w:ascii="Garamond" w:hAnsi="Garamond"/>
                <w:sz w:val="24"/>
                <w:szCs w:val="24"/>
              </w:rPr>
            </w:pPr>
          </w:p>
          <w:p w14:paraId="53936D10" w14:textId="77777777" w:rsidR="00990078" w:rsidRPr="00990078" w:rsidRDefault="00990078" w:rsidP="00BE0EA1">
            <w:pPr>
              <w:rPr>
                <w:rFonts w:ascii="Garamond" w:hAnsi="Garamond"/>
                <w:sz w:val="24"/>
                <w:szCs w:val="24"/>
              </w:rPr>
            </w:pPr>
            <w:r w:rsidRPr="00990078">
              <w:rPr>
                <w:rFonts w:ascii="Garamond" w:hAnsi="Garamond"/>
                <w:sz w:val="24"/>
                <w:szCs w:val="24"/>
              </w:rPr>
              <w:t>Implementation outcomes such as uptake, adherence, and barriers/facilitators to use.</w:t>
            </w:r>
          </w:p>
          <w:p w14:paraId="59CBE7A3" w14:textId="77777777" w:rsidR="00990078" w:rsidRPr="00990078" w:rsidRDefault="00990078" w:rsidP="00BE0EA1">
            <w:pPr>
              <w:rPr>
                <w:rFonts w:ascii="Garamond" w:hAnsi="Garamond"/>
                <w:b/>
                <w:bCs/>
                <w:sz w:val="24"/>
                <w:szCs w:val="24"/>
              </w:rPr>
            </w:pPr>
          </w:p>
        </w:tc>
        <w:tc>
          <w:tcPr>
            <w:tcW w:w="556" w:type="pct"/>
          </w:tcPr>
          <w:p w14:paraId="7E823679"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review examines how structured checklists—such as the WHO Surgical Safety Checklist, the SURPASS checklist, and wrong-site surgery checklists—</w:t>
            </w:r>
            <w:r w:rsidRPr="00990078">
              <w:rPr>
                <w:rFonts w:ascii="Garamond" w:hAnsi="Garamond"/>
                <w:sz w:val="24"/>
                <w:szCs w:val="24"/>
              </w:rPr>
              <w:lastRenderedPageBreak/>
              <w:t>affect surgical outcomes, teamwork, and adherence to safety standards. A key theme is that while checklists can reduce complications and improve communication, their effectiveness depends heavily on how they are implemented, including staff engagement, leadership support, and integration into existing workflows.</w:t>
            </w:r>
          </w:p>
        </w:tc>
        <w:tc>
          <w:tcPr>
            <w:tcW w:w="556" w:type="pct"/>
          </w:tcPr>
          <w:p w14:paraId="6470AD20"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systematic review found that surgical safety checklists are generally associated with reductions in postoperative complications and mortality. Studies also </w:t>
            </w:r>
            <w:r w:rsidRPr="00990078">
              <w:rPr>
                <w:rFonts w:ascii="Garamond" w:hAnsi="Garamond"/>
                <w:sz w:val="24"/>
                <w:szCs w:val="24"/>
              </w:rPr>
              <w:lastRenderedPageBreak/>
              <w:t xml:space="preserve">reported improvements in process measures such as adherence to safety protocols, communication among surgical teams, and detection of safety hazards. However, results varied across studies, with some showing more significant improvements than others. The review emphasized that the degree of benefit often depended on </w:t>
            </w:r>
            <w:r w:rsidRPr="00990078">
              <w:rPr>
                <w:rFonts w:ascii="Garamond" w:hAnsi="Garamond"/>
                <w:sz w:val="24"/>
                <w:szCs w:val="24"/>
              </w:rPr>
              <w:lastRenderedPageBreak/>
              <w:t>how well the checklist was implemented within the organization.</w:t>
            </w:r>
          </w:p>
          <w:p w14:paraId="51AE977D" w14:textId="77777777" w:rsidR="00990078" w:rsidRPr="00990078" w:rsidRDefault="00990078" w:rsidP="00BE0EA1">
            <w:pPr>
              <w:rPr>
                <w:rFonts w:ascii="Garamond" w:hAnsi="Garamond"/>
                <w:b/>
                <w:bCs/>
                <w:sz w:val="24"/>
                <w:szCs w:val="24"/>
              </w:rPr>
            </w:pPr>
          </w:p>
        </w:tc>
        <w:tc>
          <w:tcPr>
            <w:tcW w:w="556" w:type="pct"/>
          </w:tcPr>
          <w:p w14:paraId="31F681B5"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Across the studies reviewed, a consistent pattern emerged showing that checklists improved teamwork and communication in surgical settings. Many </w:t>
            </w:r>
            <w:r w:rsidRPr="00990078">
              <w:rPr>
                <w:rFonts w:ascii="Garamond" w:hAnsi="Garamond"/>
                <w:sz w:val="24"/>
                <w:szCs w:val="24"/>
              </w:rPr>
              <w:lastRenderedPageBreak/>
              <w:t>studies also shared findings that implementation of checklists led to greater adherence to standardized practices and protocols. Another common theme was that successful implementation required strong leadership support, active staff engagement, and integration of the checklist into routine practice.</w:t>
            </w:r>
          </w:p>
          <w:p w14:paraId="58DADACA" w14:textId="77777777" w:rsidR="00990078" w:rsidRPr="00990078" w:rsidRDefault="00990078" w:rsidP="00BE0EA1">
            <w:pPr>
              <w:rPr>
                <w:rFonts w:ascii="Garamond" w:hAnsi="Garamond"/>
                <w:sz w:val="24"/>
                <w:szCs w:val="24"/>
              </w:rPr>
            </w:pPr>
          </w:p>
        </w:tc>
        <w:tc>
          <w:tcPr>
            <w:tcW w:w="556" w:type="pct"/>
          </w:tcPr>
          <w:p w14:paraId="5F084FA6"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This particular review did not perform a formal cost analysis. Its focus was on clinical outcomes, process outcomes, and implementation factors. While some individual </w:t>
            </w:r>
            <w:r w:rsidRPr="00990078">
              <w:rPr>
                <w:rFonts w:ascii="Garamond" w:hAnsi="Garamond"/>
                <w:sz w:val="24"/>
                <w:szCs w:val="24"/>
              </w:rPr>
              <w:lastRenderedPageBreak/>
              <w:t>studies within the review suggested that checklists might prevent costly complications, the review itself did not quantify financial savings or conduct an economic evaluation. The article did not include information on claim denials or reimbursement outcomes. Because the review was specific to surgical safety checklist</w:t>
            </w:r>
            <w:r w:rsidRPr="00990078">
              <w:rPr>
                <w:rFonts w:ascii="Garamond" w:hAnsi="Garamond"/>
                <w:sz w:val="24"/>
                <w:szCs w:val="24"/>
              </w:rPr>
              <w:lastRenderedPageBreak/>
              <w:t>s, it focused on reducing complications, mortality, and improving communication and adherence, not on billing or revenue cycle metrics.</w:t>
            </w:r>
          </w:p>
        </w:tc>
        <w:tc>
          <w:tcPr>
            <w:tcW w:w="556" w:type="pct"/>
          </w:tcPr>
          <w:p w14:paraId="5CE46C18"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review was limited by variability in study quality and design among the included articles, with many relying on before-and-after methods </w:t>
            </w:r>
            <w:r w:rsidRPr="00990078">
              <w:rPr>
                <w:rFonts w:ascii="Garamond" w:hAnsi="Garamond"/>
                <w:sz w:val="24"/>
                <w:szCs w:val="24"/>
              </w:rPr>
              <w:lastRenderedPageBreak/>
              <w:t>rather than randomized controlled trials. Reported outcomes were inconsistent across studies, making it difficult to draw firm conclusions about the overall effectiveness of surgical checklists. Publication bias may also have influenced the findings, as studies reporting positive results are more likely to be publishe</w:t>
            </w:r>
            <w:r w:rsidRPr="00990078">
              <w:rPr>
                <w:rFonts w:ascii="Garamond" w:hAnsi="Garamond"/>
                <w:sz w:val="24"/>
                <w:szCs w:val="24"/>
              </w:rPr>
              <w:lastRenderedPageBreak/>
              <w:t>d. In addition, the review primarily focused on surgical settings, which limits applicability to other areas of healthcare where checklists might also be used.</w:t>
            </w:r>
          </w:p>
        </w:tc>
      </w:tr>
      <w:tr w:rsidR="00990078" w:rsidRPr="00990078" w14:paraId="66E32199" w14:textId="77777777" w:rsidTr="00990078">
        <w:tc>
          <w:tcPr>
            <w:tcW w:w="555" w:type="pct"/>
          </w:tcPr>
          <w:p w14:paraId="0983C575" w14:textId="77777777" w:rsidR="00990078" w:rsidRPr="00990078" w:rsidRDefault="00990078" w:rsidP="00BE0EA1">
            <w:pPr>
              <w:rPr>
                <w:rFonts w:ascii="Garamond" w:hAnsi="Garamond"/>
                <w:sz w:val="24"/>
                <w:szCs w:val="24"/>
              </w:rPr>
            </w:pPr>
          </w:p>
          <w:p w14:paraId="1F3AE27D"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Semel, M. E., Reznik, S. E., &amp; </w:t>
            </w:r>
            <w:r w:rsidRPr="00990078">
              <w:rPr>
                <w:rFonts w:ascii="Garamond" w:hAnsi="Garamond"/>
                <w:sz w:val="24"/>
                <w:szCs w:val="24"/>
              </w:rPr>
              <w:lastRenderedPageBreak/>
              <w:t>Gawande, A. A. (2010). </w:t>
            </w:r>
            <w:r w:rsidRPr="00990078">
              <w:rPr>
                <w:rFonts w:ascii="Garamond" w:hAnsi="Garamond"/>
                <w:i/>
                <w:iCs/>
                <w:sz w:val="24"/>
                <w:szCs w:val="24"/>
              </w:rPr>
              <w:t>Economic evaluation of the surgical checklist in a health system</w:t>
            </w:r>
            <w:r w:rsidRPr="00990078">
              <w:rPr>
                <w:rFonts w:ascii="Garamond" w:hAnsi="Garamond"/>
                <w:sz w:val="24"/>
                <w:szCs w:val="24"/>
              </w:rPr>
              <w:t>. </w:t>
            </w:r>
            <w:r w:rsidRPr="00990078">
              <w:rPr>
                <w:rFonts w:ascii="Garamond" w:hAnsi="Garamond"/>
                <w:i/>
                <w:iCs/>
                <w:sz w:val="24"/>
                <w:szCs w:val="24"/>
              </w:rPr>
              <w:t>Health Affairs</w:t>
            </w:r>
            <w:r w:rsidRPr="00990078">
              <w:rPr>
                <w:rFonts w:ascii="Garamond" w:hAnsi="Garamond"/>
                <w:sz w:val="24"/>
                <w:szCs w:val="24"/>
              </w:rPr>
              <w:t>, 29(9), 1593–1599. https://doi.org/10.1377/hlthaff.2009.0886</w:t>
            </w:r>
          </w:p>
          <w:p w14:paraId="310F85BD" w14:textId="77777777" w:rsidR="00990078" w:rsidRPr="00990078" w:rsidRDefault="00990078" w:rsidP="00BE0EA1">
            <w:pPr>
              <w:rPr>
                <w:rFonts w:ascii="Garamond" w:hAnsi="Garamond"/>
                <w:sz w:val="24"/>
                <w:szCs w:val="24"/>
              </w:rPr>
            </w:pPr>
          </w:p>
          <w:p w14:paraId="3B8A8392" w14:textId="77777777" w:rsidR="00990078" w:rsidRPr="00990078" w:rsidRDefault="00990078" w:rsidP="00BE0EA1">
            <w:pPr>
              <w:rPr>
                <w:rFonts w:ascii="Garamond" w:hAnsi="Garamond"/>
                <w:sz w:val="24"/>
                <w:szCs w:val="24"/>
              </w:rPr>
            </w:pPr>
          </w:p>
        </w:tc>
        <w:tc>
          <w:tcPr>
            <w:tcW w:w="556" w:type="pct"/>
          </w:tcPr>
          <w:p w14:paraId="4BE63EB2"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study population was surgical </w:t>
            </w:r>
            <w:r w:rsidRPr="00990078">
              <w:rPr>
                <w:rFonts w:ascii="Garamond" w:hAnsi="Garamond"/>
                <w:sz w:val="24"/>
                <w:szCs w:val="24"/>
              </w:rPr>
              <w:lastRenderedPageBreak/>
              <w:t>patients in U.S. hospitals. Instead of analyzing a single patient sample, the authors built a modeled cohort of patients undergoing inpatient surgery. The model used national surgical volume data and complication rates to estimate how many patients would be affected by checklist use across the United States.</w:t>
            </w:r>
          </w:p>
          <w:p w14:paraId="5B001784" w14:textId="77777777" w:rsidR="00990078" w:rsidRPr="00990078" w:rsidRDefault="00990078" w:rsidP="00BE0EA1">
            <w:pPr>
              <w:rPr>
                <w:rFonts w:ascii="Garamond" w:hAnsi="Garamond"/>
                <w:sz w:val="24"/>
                <w:szCs w:val="24"/>
              </w:rPr>
            </w:pPr>
          </w:p>
        </w:tc>
        <w:tc>
          <w:tcPr>
            <w:tcW w:w="556" w:type="pct"/>
          </w:tcPr>
          <w:p w14:paraId="2D930F87"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This was an economic evaluati</w:t>
            </w:r>
            <w:r w:rsidRPr="00990078">
              <w:rPr>
                <w:rFonts w:ascii="Garamond" w:hAnsi="Garamond"/>
                <w:sz w:val="24"/>
                <w:szCs w:val="24"/>
              </w:rPr>
              <w:lastRenderedPageBreak/>
              <w:t>on (decision-analytic model) rather than a traditional clinical trial. The authors:</w:t>
            </w:r>
          </w:p>
          <w:p w14:paraId="7DC76915" w14:textId="77777777" w:rsidR="00990078" w:rsidRPr="00990078" w:rsidRDefault="00990078" w:rsidP="00BE0EA1">
            <w:pPr>
              <w:rPr>
                <w:rFonts w:ascii="Garamond" w:hAnsi="Garamond"/>
                <w:sz w:val="24"/>
                <w:szCs w:val="24"/>
              </w:rPr>
            </w:pPr>
          </w:p>
          <w:p w14:paraId="66174FED" w14:textId="77777777" w:rsidR="00990078" w:rsidRPr="00990078" w:rsidRDefault="00990078" w:rsidP="00BE0EA1">
            <w:pPr>
              <w:rPr>
                <w:rFonts w:ascii="Garamond" w:hAnsi="Garamond"/>
                <w:sz w:val="24"/>
                <w:szCs w:val="24"/>
              </w:rPr>
            </w:pPr>
            <w:r w:rsidRPr="00990078">
              <w:rPr>
                <w:rFonts w:ascii="Garamond" w:hAnsi="Garamond"/>
                <w:sz w:val="24"/>
                <w:szCs w:val="24"/>
              </w:rPr>
              <w:t>Used outcome data from the World Health Organization (WHO) Surgical Safety Checklist trial (Haynes et al., 2009) to estimate reductions in major surgical complications.</w:t>
            </w:r>
          </w:p>
          <w:p w14:paraId="27621655" w14:textId="77777777" w:rsidR="00990078" w:rsidRPr="00990078" w:rsidRDefault="00990078" w:rsidP="00BE0EA1">
            <w:pPr>
              <w:rPr>
                <w:rFonts w:ascii="Garamond" w:hAnsi="Garamond"/>
                <w:sz w:val="24"/>
                <w:szCs w:val="24"/>
              </w:rPr>
            </w:pPr>
          </w:p>
          <w:p w14:paraId="78FF8F8B"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Applied these outcome estimates to U.S. surgical volume and cost data to </w:t>
            </w:r>
            <w:r w:rsidRPr="00990078">
              <w:rPr>
                <w:rFonts w:ascii="Garamond" w:hAnsi="Garamond"/>
                <w:sz w:val="24"/>
                <w:szCs w:val="24"/>
              </w:rPr>
              <w:lastRenderedPageBreak/>
              <w:t>project the financial impact of implementing the checklist nationwide.</w:t>
            </w:r>
          </w:p>
          <w:p w14:paraId="7F32D170" w14:textId="77777777" w:rsidR="00990078" w:rsidRPr="00990078" w:rsidRDefault="00990078" w:rsidP="00BE0EA1">
            <w:pPr>
              <w:rPr>
                <w:rFonts w:ascii="Garamond" w:hAnsi="Garamond"/>
                <w:sz w:val="24"/>
                <w:szCs w:val="24"/>
              </w:rPr>
            </w:pPr>
          </w:p>
          <w:p w14:paraId="5B999EF6" w14:textId="77777777" w:rsidR="00990078" w:rsidRPr="00990078" w:rsidRDefault="00990078" w:rsidP="00BE0EA1">
            <w:pPr>
              <w:rPr>
                <w:rFonts w:ascii="Garamond" w:hAnsi="Garamond"/>
                <w:sz w:val="24"/>
                <w:szCs w:val="24"/>
              </w:rPr>
            </w:pPr>
            <w:r w:rsidRPr="00990078">
              <w:rPr>
                <w:rFonts w:ascii="Garamond" w:hAnsi="Garamond"/>
                <w:sz w:val="24"/>
                <w:szCs w:val="24"/>
              </w:rPr>
              <w:t>Compared costs of checklist implementation (training, staff time, etc.) to the savings from complications avoided (shorter hospital stays, fewer treatments, reduced mortality-related costs).</w:t>
            </w:r>
          </w:p>
          <w:p w14:paraId="2F742526" w14:textId="77777777" w:rsidR="00990078" w:rsidRPr="00990078" w:rsidRDefault="00990078" w:rsidP="00BE0EA1">
            <w:pPr>
              <w:ind w:left="720"/>
              <w:rPr>
                <w:rFonts w:ascii="Garamond" w:hAnsi="Garamond"/>
                <w:sz w:val="24"/>
                <w:szCs w:val="24"/>
              </w:rPr>
            </w:pPr>
          </w:p>
          <w:p w14:paraId="15C1FE38"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Conducted sensitivity analyses to test whether the </w:t>
            </w:r>
            <w:r w:rsidRPr="00990078">
              <w:rPr>
                <w:rFonts w:ascii="Garamond" w:hAnsi="Garamond"/>
                <w:sz w:val="24"/>
                <w:szCs w:val="24"/>
              </w:rPr>
              <w:lastRenderedPageBreak/>
              <w:t>checklist would remain cost-saving under different assumptions (e.g., complication rates, cost of implementation).</w:t>
            </w:r>
          </w:p>
          <w:p w14:paraId="4E4274E6" w14:textId="77777777" w:rsidR="00990078" w:rsidRPr="00990078" w:rsidRDefault="00990078" w:rsidP="00BE0EA1">
            <w:pPr>
              <w:rPr>
                <w:rFonts w:ascii="Garamond" w:hAnsi="Garamond"/>
                <w:sz w:val="24"/>
                <w:szCs w:val="24"/>
              </w:rPr>
            </w:pPr>
          </w:p>
        </w:tc>
        <w:tc>
          <w:tcPr>
            <w:tcW w:w="556" w:type="pct"/>
          </w:tcPr>
          <w:p w14:paraId="668B6B20" w14:textId="77777777" w:rsidR="00990078" w:rsidRPr="00990078" w:rsidRDefault="00990078" w:rsidP="00BE0EA1">
            <w:pPr>
              <w:rPr>
                <w:rFonts w:ascii="Garamond" w:hAnsi="Garamond"/>
                <w:b/>
                <w:bCs/>
                <w:sz w:val="24"/>
                <w:szCs w:val="24"/>
              </w:rPr>
            </w:pPr>
            <w:r w:rsidRPr="00990078">
              <w:rPr>
                <w:rFonts w:ascii="Garamond" w:hAnsi="Garamond"/>
                <w:b/>
                <w:bCs/>
                <w:sz w:val="24"/>
                <w:szCs w:val="24"/>
              </w:rPr>
              <w:lastRenderedPageBreak/>
              <w:t>Independent Variable</w:t>
            </w:r>
          </w:p>
          <w:p w14:paraId="0D99A716"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independent variable is the implementation of the WHO Surgical Safety Checklist in U.S. hospitals. In the study’s decision-analytic model, this is represented as the presence or absence of checklist use.</w:t>
            </w:r>
          </w:p>
          <w:p w14:paraId="5AAB9F27" w14:textId="77777777" w:rsidR="00990078" w:rsidRPr="00990078" w:rsidRDefault="00990078" w:rsidP="00BE0EA1">
            <w:pPr>
              <w:rPr>
                <w:rFonts w:ascii="Garamond" w:hAnsi="Garamond"/>
                <w:sz w:val="24"/>
                <w:szCs w:val="24"/>
              </w:rPr>
            </w:pPr>
          </w:p>
          <w:p w14:paraId="050582CC" w14:textId="77777777" w:rsidR="00990078" w:rsidRPr="00990078" w:rsidRDefault="00990078" w:rsidP="00BE0EA1">
            <w:pPr>
              <w:rPr>
                <w:rFonts w:ascii="Garamond" w:hAnsi="Garamond"/>
                <w:b/>
                <w:bCs/>
                <w:sz w:val="24"/>
                <w:szCs w:val="24"/>
              </w:rPr>
            </w:pPr>
            <w:r w:rsidRPr="00990078">
              <w:rPr>
                <w:rFonts w:ascii="Garamond" w:hAnsi="Garamond"/>
                <w:b/>
                <w:bCs/>
                <w:sz w:val="24"/>
                <w:szCs w:val="24"/>
              </w:rPr>
              <w:t>Dependent Variables</w:t>
            </w:r>
          </w:p>
          <w:p w14:paraId="3F77879A"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The dependent variables are the clinical and economic outcomes projected from </w:t>
            </w:r>
            <w:r w:rsidRPr="00990078">
              <w:rPr>
                <w:rFonts w:ascii="Garamond" w:hAnsi="Garamond"/>
                <w:sz w:val="24"/>
                <w:szCs w:val="24"/>
              </w:rPr>
              <w:lastRenderedPageBreak/>
              <w:t>checklist use. These include:</w:t>
            </w:r>
          </w:p>
          <w:p w14:paraId="679A0153" w14:textId="77777777" w:rsidR="00990078" w:rsidRPr="00990078" w:rsidRDefault="00990078" w:rsidP="00BE0EA1">
            <w:pPr>
              <w:rPr>
                <w:rFonts w:ascii="Garamond" w:hAnsi="Garamond"/>
                <w:sz w:val="24"/>
                <w:szCs w:val="24"/>
              </w:rPr>
            </w:pPr>
            <w:r w:rsidRPr="00990078">
              <w:rPr>
                <w:rFonts w:ascii="Garamond" w:hAnsi="Garamond"/>
                <w:sz w:val="24"/>
                <w:szCs w:val="24"/>
              </w:rPr>
              <w:t>Rates of major surgical complications (e.g., infections, adverse events).</w:t>
            </w:r>
          </w:p>
          <w:p w14:paraId="1A31B9F3" w14:textId="77777777" w:rsidR="00990078" w:rsidRPr="00990078" w:rsidRDefault="00990078" w:rsidP="00BE0EA1">
            <w:pPr>
              <w:rPr>
                <w:rFonts w:ascii="Garamond" w:hAnsi="Garamond"/>
                <w:sz w:val="24"/>
                <w:szCs w:val="24"/>
              </w:rPr>
            </w:pPr>
          </w:p>
          <w:p w14:paraId="00B76F3B" w14:textId="77777777" w:rsidR="00990078" w:rsidRPr="00990078" w:rsidRDefault="00990078" w:rsidP="00BE0EA1">
            <w:pPr>
              <w:rPr>
                <w:rFonts w:ascii="Garamond" w:hAnsi="Garamond"/>
                <w:sz w:val="24"/>
                <w:szCs w:val="24"/>
              </w:rPr>
            </w:pPr>
            <w:r w:rsidRPr="00990078">
              <w:rPr>
                <w:rFonts w:ascii="Garamond" w:hAnsi="Garamond"/>
                <w:sz w:val="24"/>
                <w:szCs w:val="24"/>
              </w:rPr>
              <w:t>Mortality rates associated with surgery.</w:t>
            </w:r>
          </w:p>
          <w:p w14:paraId="1832D6A5" w14:textId="77777777" w:rsidR="00990078" w:rsidRPr="00990078" w:rsidRDefault="00990078" w:rsidP="00BE0EA1">
            <w:pPr>
              <w:rPr>
                <w:rFonts w:ascii="Garamond" w:hAnsi="Garamond"/>
                <w:sz w:val="24"/>
                <w:szCs w:val="24"/>
              </w:rPr>
            </w:pPr>
          </w:p>
          <w:p w14:paraId="716131DC" w14:textId="77777777" w:rsidR="00990078" w:rsidRPr="00990078" w:rsidRDefault="00990078" w:rsidP="00BE0EA1">
            <w:pPr>
              <w:rPr>
                <w:rFonts w:ascii="Garamond" w:hAnsi="Garamond"/>
                <w:sz w:val="24"/>
                <w:szCs w:val="24"/>
              </w:rPr>
            </w:pPr>
            <w:r w:rsidRPr="00990078">
              <w:rPr>
                <w:rFonts w:ascii="Garamond" w:hAnsi="Garamond"/>
                <w:sz w:val="24"/>
                <w:szCs w:val="24"/>
              </w:rPr>
              <w:t>Hospital costs related to complications (longer stays, treatments).</w:t>
            </w:r>
          </w:p>
          <w:p w14:paraId="38C2B9EC" w14:textId="77777777" w:rsidR="00990078" w:rsidRPr="00990078" w:rsidRDefault="00990078" w:rsidP="00BE0EA1">
            <w:pPr>
              <w:rPr>
                <w:rFonts w:ascii="Garamond" w:hAnsi="Garamond"/>
                <w:sz w:val="24"/>
                <w:szCs w:val="24"/>
              </w:rPr>
            </w:pPr>
          </w:p>
          <w:p w14:paraId="216371AC" w14:textId="77777777" w:rsidR="00990078" w:rsidRPr="00990078" w:rsidRDefault="00990078" w:rsidP="00BE0EA1">
            <w:pPr>
              <w:rPr>
                <w:rFonts w:ascii="Garamond" w:hAnsi="Garamond"/>
                <w:sz w:val="24"/>
                <w:szCs w:val="24"/>
              </w:rPr>
            </w:pPr>
            <w:r w:rsidRPr="00990078">
              <w:rPr>
                <w:rFonts w:ascii="Garamond" w:hAnsi="Garamond"/>
                <w:sz w:val="24"/>
                <w:szCs w:val="24"/>
              </w:rPr>
              <w:t>Net cost savings or expenditures after considering implementation costs.</w:t>
            </w:r>
          </w:p>
          <w:p w14:paraId="7F0C8C47" w14:textId="77777777" w:rsidR="00990078" w:rsidRPr="00990078" w:rsidRDefault="00990078" w:rsidP="00BE0EA1">
            <w:pPr>
              <w:rPr>
                <w:rFonts w:ascii="Garamond" w:hAnsi="Garamond"/>
                <w:b/>
                <w:bCs/>
                <w:sz w:val="24"/>
                <w:szCs w:val="24"/>
              </w:rPr>
            </w:pPr>
          </w:p>
        </w:tc>
        <w:tc>
          <w:tcPr>
            <w:tcW w:w="556" w:type="pct"/>
          </w:tcPr>
          <w:p w14:paraId="1F6E73DC"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article explores how adopting </w:t>
            </w:r>
            <w:r w:rsidRPr="00990078">
              <w:rPr>
                <w:rFonts w:ascii="Garamond" w:hAnsi="Garamond"/>
                <w:sz w:val="24"/>
                <w:szCs w:val="24"/>
              </w:rPr>
              <w:lastRenderedPageBreak/>
              <w:t xml:space="preserve">a standardized surgical checklist not only improves patient safety by reducing complications but also generates significant </w:t>
            </w:r>
            <w:r w:rsidRPr="00990078">
              <w:rPr>
                <w:rFonts w:ascii="Garamond" w:hAnsi="Garamond"/>
                <w:b/>
                <w:bCs/>
                <w:sz w:val="24"/>
                <w:szCs w:val="24"/>
              </w:rPr>
              <w:t>financial savings</w:t>
            </w:r>
            <w:r w:rsidRPr="00990078">
              <w:rPr>
                <w:rFonts w:ascii="Garamond" w:hAnsi="Garamond"/>
                <w:sz w:val="24"/>
                <w:szCs w:val="24"/>
              </w:rPr>
              <w:t xml:space="preserve"> for the healthcare system. The theme emphasizes that checklist implementation is cost-effective, with the costs of adoption being minimal compared to the savings from avoided complications </w:t>
            </w:r>
            <w:r w:rsidRPr="00990078">
              <w:rPr>
                <w:rFonts w:ascii="Garamond" w:hAnsi="Garamond"/>
                <w:sz w:val="24"/>
                <w:szCs w:val="24"/>
              </w:rPr>
              <w:lastRenderedPageBreak/>
              <w:t>and deaths.</w:t>
            </w:r>
          </w:p>
          <w:p w14:paraId="6B5F8055" w14:textId="77777777" w:rsidR="00990078" w:rsidRPr="00990078" w:rsidRDefault="00990078" w:rsidP="00BE0EA1">
            <w:pPr>
              <w:rPr>
                <w:rFonts w:ascii="Garamond" w:hAnsi="Garamond"/>
                <w:sz w:val="24"/>
                <w:szCs w:val="24"/>
              </w:rPr>
            </w:pPr>
          </w:p>
        </w:tc>
        <w:tc>
          <w:tcPr>
            <w:tcW w:w="556" w:type="pct"/>
          </w:tcPr>
          <w:p w14:paraId="49CB2CAC"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study concluded that impleme</w:t>
            </w:r>
            <w:r w:rsidRPr="00990078">
              <w:rPr>
                <w:rFonts w:ascii="Garamond" w:hAnsi="Garamond"/>
                <w:sz w:val="24"/>
                <w:szCs w:val="24"/>
              </w:rPr>
              <w:lastRenderedPageBreak/>
              <w:t>nting the WHO Surgical Safety Checklist in U.S. hospitals would be both clinically beneficial and cost-saving. The model estimated that if the checklist were adopted nationwide, it could prevent thousands of major complications and hundreds of deaths annually. Financially, the checklist would produce net savings, since the cost of impleme</w:t>
            </w:r>
            <w:r w:rsidRPr="00990078">
              <w:rPr>
                <w:rFonts w:ascii="Garamond" w:hAnsi="Garamond"/>
                <w:sz w:val="24"/>
                <w:szCs w:val="24"/>
              </w:rPr>
              <w:lastRenderedPageBreak/>
              <w:t>ntation was very small compared to the costs avoided from reduced complications and shorter hospital stays. The authors emphasized that the checklist would remain cost-effective even under conservative assumptions about its effectiveness.</w:t>
            </w:r>
          </w:p>
          <w:p w14:paraId="127D9CA0" w14:textId="77777777" w:rsidR="00990078" w:rsidRPr="00990078" w:rsidRDefault="00990078" w:rsidP="00BE0EA1">
            <w:pPr>
              <w:rPr>
                <w:rFonts w:ascii="Garamond" w:hAnsi="Garamond"/>
                <w:sz w:val="24"/>
                <w:szCs w:val="24"/>
              </w:rPr>
            </w:pPr>
          </w:p>
        </w:tc>
        <w:tc>
          <w:tcPr>
            <w:tcW w:w="556" w:type="pct"/>
          </w:tcPr>
          <w:p w14:paraId="77EE6D4E"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When compared to other checklist </w:t>
            </w:r>
            <w:r w:rsidRPr="00990078">
              <w:rPr>
                <w:rFonts w:ascii="Garamond" w:hAnsi="Garamond"/>
                <w:sz w:val="24"/>
                <w:szCs w:val="24"/>
              </w:rPr>
              <w:lastRenderedPageBreak/>
              <w:t>research (such as Treadwell et al., 2014), this study reinforces the consistent pattern that surgical checklists improve safety outcomes and standardize practices. Both studies highlight that checklists reduce errors and adverse events, which in turn has ripple effects on efficiency and cost. The shared finding across the literatur</w:t>
            </w:r>
            <w:r w:rsidRPr="00990078">
              <w:rPr>
                <w:rFonts w:ascii="Garamond" w:hAnsi="Garamond"/>
                <w:sz w:val="24"/>
                <w:szCs w:val="24"/>
              </w:rPr>
              <w:lastRenderedPageBreak/>
              <w:t>e is that structured checklists, when implemented properly, lead to measurable improvements in patient safety and resource use, demonstrating value both clinically and economically.</w:t>
            </w:r>
          </w:p>
          <w:p w14:paraId="10E4389C" w14:textId="77777777" w:rsidR="00990078" w:rsidRPr="00990078" w:rsidRDefault="00990078" w:rsidP="00BE0EA1">
            <w:pPr>
              <w:rPr>
                <w:rFonts w:ascii="Garamond" w:hAnsi="Garamond"/>
                <w:sz w:val="24"/>
                <w:szCs w:val="24"/>
              </w:rPr>
            </w:pPr>
          </w:p>
        </w:tc>
        <w:tc>
          <w:tcPr>
            <w:tcW w:w="556" w:type="pct"/>
          </w:tcPr>
          <w:p w14:paraId="1E5C621C"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central purpose of the study </w:t>
            </w:r>
            <w:r w:rsidRPr="00990078">
              <w:rPr>
                <w:rFonts w:ascii="Garamond" w:hAnsi="Garamond"/>
                <w:sz w:val="24"/>
                <w:szCs w:val="24"/>
              </w:rPr>
              <w:lastRenderedPageBreak/>
              <w:t>was an economic evaluation of the WHO Surgical Safety Checklist. Using national surgical volume data, complication rates, and cost estimates, the authors projected that widespread checklist use in U.S. hospitals would:</w:t>
            </w:r>
          </w:p>
          <w:p w14:paraId="592C90CE" w14:textId="77777777" w:rsidR="00990078" w:rsidRPr="00990078" w:rsidRDefault="00990078" w:rsidP="00BE0EA1">
            <w:pPr>
              <w:rPr>
                <w:rFonts w:ascii="Garamond" w:hAnsi="Garamond"/>
                <w:b/>
                <w:bCs/>
                <w:sz w:val="24"/>
                <w:szCs w:val="24"/>
              </w:rPr>
            </w:pPr>
          </w:p>
          <w:p w14:paraId="1DBC175D" w14:textId="77777777" w:rsidR="00990078" w:rsidRPr="00990078" w:rsidRDefault="00990078" w:rsidP="00BE0EA1">
            <w:pPr>
              <w:rPr>
                <w:rFonts w:ascii="Garamond" w:hAnsi="Garamond"/>
                <w:sz w:val="24"/>
                <w:szCs w:val="24"/>
              </w:rPr>
            </w:pPr>
            <w:r w:rsidRPr="00990078">
              <w:rPr>
                <w:rFonts w:ascii="Garamond" w:hAnsi="Garamond"/>
                <w:b/>
                <w:bCs/>
                <w:sz w:val="24"/>
                <w:szCs w:val="24"/>
              </w:rPr>
              <w:t>Prevent major complications</w:t>
            </w:r>
            <w:r w:rsidRPr="00990078">
              <w:rPr>
                <w:rFonts w:ascii="Garamond" w:hAnsi="Garamond"/>
                <w:sz w:val="24"/>
                <w:szCs w:val="24"/>
              </w:rPr>
              <w:t>: reducing avoidable infections, adverse events, and deaths.</w:t>
            </w:r>
          </w:p>
          <w:p w14:paraId="53D90D2C" w14:textId="77777777" w:rsidR="00990078" w:rsidRPr="00990078" w:rsidRDefault="00990078" w:rsidP="00BE0EA1">
            <w:pPr>
              <w:rPr>
                <w:rFonts w:ascii="Garamond" w:hAnsi="Garamond"/>
                <w:b/>
                <w:bCs/>
                <w:sz w:val="24"/>
                <w:szCs w:val="24"/>
              </w:rPr>
            </w:pPr>
          </w:p>
          <w:p w14:paraId="48DB2847" w14:textId="77777777" w:rsidR="00990078" w:rsidRPr="00990078" w:rsidRDefault="00990078" w:rsidP="00BE0EA1">
            <w:pPr>
              <w:rPr>
                <w:rFonts w:ascii="Garamond" w:hAnsi="Garamond"/>
                <w:sz w:val="24"/>
                <w:szCs w:val="24"/>
              </w:rPr>
            </w:pPr>
            <w:r w:rsidRPr="00990078">
              <w:rPr>
                <w:rFonts w:ascii="Garamond" w:hAnsi="Garamond"/>
                <w:b/>
                <w:bCs/>
                <w:sz w:val="24"/>
                <w:szCs w:val="24"/>
              </w:rPr>
              <w:lastRenderedPageBreak/>
              <w:t>Save money</w:t>
            </w:r>
            <w:r w:rsidRPr="00990078">
              <w:rPr>
                <w:rFonts w:ascii="Garamond" w:hAnsi="Garamond"/>
                <w:sz w:val="24"/>
                <w:szCs w:val="24"/>
              </w:rPr>
              <w:t>: even if the checklist only prevented a small number of complications (as few as five per year per hospital), the cost of implementation would be outweighed by the savings.</w:t>
            </w:r>
          </w:p>
          <w:p w14:paraId="1AA4F6B9" w14:textId="77777777" w:rsidR="00990078" w:rsidRPr="00990078" w:rsidRDefault="00990078" w:rsidP="00BE0EA1">
            <w:pPr>
              <w:rPr>
                <w:rFonts w:ascii="Garamond" w:hAnsi="Garamond"/>
                <w:b/>
                <w:bCs/>
                <w:sz w:val="24"/>
                <w:szCs w:val="24"/>
              </w:rPr>
            </w:pPr>
          </w:p>
          <w:p w14:paraId="4599E342" w14:textId="77777777" w:rsidR="00990078" w:rsidRPr="00990078" w:rsidRDefault="00990078" w:rsidP="00BE0EA1">
            <w:pPr>
              <w:rPr>
                <w:rFonts w:ascii="Garamond" w:hAnsi="Garamond"/>
                <w:sz w:val="24"/>
                <w:szCs w:val="24"/>
              </w:rPr>
            </w:pPr>
            <w:r w:rsidRPr="00990078">
              <w:rPr>
                <w:rFonts w:ascii="Garamond" w:hAnsi="Garamond"/>
                <w:b/>
                <w:bCs/>
                <w:sz w:val="24"/>
                <w:szCs w:val="24"/>
              </w:rPr>
              <w:t>Remain cost-effective</w:t>
            </w:r>
            <w:r w:rsidRPr="00990078">
              <w:rPr>
                <w:rFonts w:ascii="Garamond" w:hAnsi="Garamond"/>
                <w:sz w:val="24"/>
                <w:szCs w:val="24"/>
              </w:rPr>
              <w:t>: the analysis showed that the checklist produced net savings under nearly all sensitivity analyses, meaning it is financial</w:t>
            </w:r>
            <w:r w:rsidRPr="00990078">
              <w:rPr>
                <w:rFonts w:ascii="Garamond" w:hAnsi="Garamond"/>
                <w:sz w:val="24"/>
                <w:szCs w:val="24"/>
              </w:rPr>
              <w:lastRenderedPageBreak/>
              <w:t>ly advantageous in most scenarios.</w:t>
            </w:r>
          </w:p>
          <w:p w14:paraId="3BB042D4" w14:textId="77777777" w:rsidR="00990078" w:rsidRPr="00990078" w:rsidRDefault="00990078" w:rsidP="00BE0EA1">
            <w:pPr>
              <w:rPr>
                <w:rFonts w:ascii="Garamond" w:hAnsi="Garamond"/>
                <w:sz w:val="24"/>
                <w:szCs w:val="24"/>
              </w:rPr>
            </w:pPr>
            <w:r w:rsidRPr="00990078">
              <w:rPr>
                <w:rFonts w:ascii="Garamond" w:hAnsi="Garamond"/>
                <w:sz w:val="24"/>
                <w:szCs w:val="24"/>
              </w:rPr>
              <w:t>Overall, they demonstrated that the intervention is not just safe but also a high-value, cost-saving practice.</w:t>
            </w:r>
          </w:p>
          <w:p w14:paraId="74008F69" w14:textId="77777777" w:rsidR="00990078" w:rsidRPr="00990078" w:rsidRDefault="00990078" w:rsidP="00BE0EA1">
            <w:pPr>
              <w:rPr>
                <w:rFonts w:ascii="Garamond" w:hAnsi="Garamond"/>
                <w:sz w:val="24"/>
                <w:szCs w:val="24"/>
              </w:rPr>
            </w:pPr>
          </w:p>
        </w:tc>
        <w:tc>
          <w:tcPr>
            <w:tcW w:w="556" w:type="pct"/>
          </w:tcPr>
          <w:p w14:paraId="548AAB86"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study was based on a </w:t>
            </w:r>
            <w:r w:rsidRPr="00990078">
              <w:rPr>
                <w:rFonts w:ascii="Garamond" w:hAnsi="Garamond"/>
                <w:sz w:val="24"/>
                <w:szCs w:val="24"/>
              </w:rPr>
              <w:lastRenderedPageBreak/>
              <w:t xml:space="preserve">decision-analytic model rather than direct clinical trial data, which means the projected cost savings and clinical benefits are estimates rather than observed outcomes. The model relied heavily on complication rate reductions reported in earlier studies, such as Haynes et al. (2009), and may not fully capture variability in </w:t>
            </w:r>
            <w:r w:rsidRPr="00990078">
              <w:rPr>
                <w:rFonts w:ascii="Garamond" w:hAnsi="Garamond"/>
                <w:sz w:val="24"/>
                <w:szCs w:val="24"/>
              </w:rPr>
              <w:lastRenderedPageBreak/>
              <w:t>surgical practices across different hospitals. Assumptions about implementation costs and staff adherence were simplified, which could affect the accuracy of financial projections. In addition, the analysis focused on inpatient surgery and did not account for potential benefits or limitations in outpatient or other procedural settings.</w:t>
            </w:r>
          </w:p>
        </w:tc>
      </w:tr>
      <w:tr w:rsidR="00990078" w:rsidRPr="00990078" w14:paraId="0199986A" w14:textId="77777777" w:rsidTr="00990078">
        <w:tc>
          <w:tcPr>
            <w:tcW w:w="555" w:type="pct"/>
          </w:tcPr>
          <w:p w14:paraId="328CD654" w14:textId="77777777" w:rsidR="00990078" w:rsidRPr="00990078" w:rsidRDefault="00990078" w:rsidP="00BE0EA1">
            <w:pPr>
              <w:rPr>
                <w:rFonts w:ascii="Garamond" w:hAnsi="Garamond"/>
                <w:sz w:val="24"/>
                <w:szCs w:val="24"/>
              </w:rPr>
            </w:pPr>
            <w:r w:rsidRPr="00990078">
              <w:rPr>
                <w:rFonts w:ascii="Garamond" w:hAnsi="Garamond"/>
                <w:sz w:val="24"/>
                <w:szCs w:val="24"/>
                <w:lang w:val="es-ES"/>
              </w:rPr>
              <w:lastRenderedPageBreak/>
              <w:t xml:space="preserve">Cavalcanti, A. B., Machado, F. R., Bozza, F., et al. </w:t>
            </w:r>
            <w:r w:rsidRPr="00990078">
              <w:rPr>
                <w:rFonts w:ascii="Garamond" w:hAnsi="Garamond"/>
                <w:sz w:val="24"/>
                <w:szCs w:val="24"/>
              </w:rPr>
              <w:t xml:space="preserve">(2016). Effect of a quality improvement intervention with daily round checklists, goal setting, and clinician prompting on </w:t>
            </w:r>
            <w:r w:rsidRPr="00990078">
              <w:rPr>
                <w:rFonts w:ascii="Garamond" w:hAnsi="Garamond"/>
                <w:sz w:val="24"/>
                <w:szCs w:val="24"/>
              </w:rPr>
              <w:lastRenderedPageBreak/>
              <w:t xml:space="preserve">mortality of critically ill patients: A randomized clinical trial. </w:t>
            </w:r>
            <w:r w:rsidRPr="00990078">
              <w:rPr>
                <w:rFonts w:ascii="Garamond" w:hAnsi="Garamond"/>
                <w:i/>
                <w:iCs/>
                <w:sz w:val="24"/>
                <w:szCs w:val="24"/>
              </w:rPr>
              <w:t>JAMA, 315</w:t>
            </w:r>
            <w:r w:rsidRPr="00990078">
              <w:rPr>
                <w:rFonts w:ascii="Garamond" w:hAnsi="Garamond"/>
                <w:sz w:val="24"/>
                <w:szCs w:val="24"/>
              </w:rPr>
              <w:t>(14), 1480–1490. https://doi.org/10.1001/jama.2016.3463</w:t>
            </w:r>
          </w:p>
        </w:tc>
        <w:tc>
          <w:tcPr>
            <w:tcW w:w="556" w:type="pct"/>
          </w:tcPr>
          <w:p w14:paraId="600735FF"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population in Cavalcanti et al. (2016) consisted of adult critically ill patients admitted to intensive care units (ICUs) in Brazil. The trial involved 118 ICUs across </w:t>
            </w:r>
            <w:r w:rsidRPr="00990078">
              <w:rPr>
                <w:rFonts w:ascii="Garamond" w:hAnsi="Garamond"/>
                <w:sz w:val="24"/>
                <w:szCs w:val="24"/>
              </w:rPr>
              <w:lastRenderedPageBreak/>
              <w:t>the country and included more than 6,000 patients who were admitted during the study period. These patients were the focus for evaluating whether the checklist-based intervention influenced clinical outcomes, particularly in-hospital mortality.</w:t>
            </w:r>
          </w:p>
        </w:tc>
        <w:tc>
          <w:tcPr>
            <w:tcW w:w="556" w:type="pct"/>
          </w:tcPr>
          <w:p w14:paraId="0FAF5D8B"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study was a cluster-randomized clinical trial conducted in 118 intensive care units (ICUs) across Brazil. After a baseline observational phase, ICUs were randomi</w:t>
            </w:r>
            <w:r w:rsidRPr="00990078">
              <w:rPr>
                <w:rFonts w:ascii="Garamond" w:hAnsi="Garamond"/>
                <w:sz w:val="24"/>
                <w:szCs w:val="24"/>
              </w:rPr>
              <w:lastRenderedPageBreak/>
              <w:t xml:space="preserve">zed either to implement a multifaceted quality improvement intervention or to continue with usual care. The intervention included the use of a structured daily checklist during rounds, explicit goal setting for each patient, and clinician prompting to address missed care processes. Data collection focused on patient-level </w:t>
            </w:r>
            <w:r w:rsidRPr="00990078">
              <w:rPr>
                <w:rFonts w:ascii="Garamond" w:hAnsi="Garamond"/>
                <w:sz w:val="24"/>
                <w:szCs w:val="24"/>
              </w:rPr>
              <w:lastRenderedPageBreak/>
              <w:t>outcomes, with in-hospital mortality within 60 days as the primary endpoint. Secondary outcomes included adherence to evidence-based care processes, ICU length of stay, and measures of patient safety climate.</w:t>
            </w:r>
          </w:p>
          <w:p w14:paraId="55A4522B" w14:textId="77777777" w:rsidR="00990078" w:rsidRPr="00990078" w:rsidRDefault="00990078" w:rsidP="00BE0EA1">
            <w:pPr>
              <w:rPr>
                <w:rFonts w:ascii="Garamond" w:hAnsi="Garamond"/>
                <w:sz w:val="24"/>
                <w:szCs w:val="24"/>
              </w:rPr>
            </w:pPr>
          </w:p>
        </w:tc>
        <w:tc>
          <w:tcPr>
            <w:tcW w:w="556" w:type="pct"/>
          </w:tcPr>
          <w:p w14:paraId="1BF13010" w14:textId="77777777" w:rsidR="00990078" w:rsidRPr="00990078" w:rsidRDefault="00990078" w:rsidP="00BE0EA1">
            <w:pPr>
              <w:rPr>
                <w:rFonts w:ascii="Garamond" w:hAnsi="Garamond"/>
                <w:sz w:val="24"/>
                <w:szCs w:val="24"/>
              </w:rPr>
            </w:pPr>
            <w:r w:rsidRPr="00990078">
              <w:rPr>
                <w:rFonts w:ascii="Garamond" w:hAnsi="Garamond"/>
                <w:b/>
                <w:bCs/>
                <w:sz w:val="24"/>
                <w:szCs w:val="24"/>
              </w:rPr>
              <w:lastRenderedPageBreak/>
              <w:t>Independent Variable</w:t>
            </w:r>
            <w:r w:rsidRPr="00990078">
              <w:rPr>
                <w:rFonts w:ascii="Garamond" w:hAnsi="Garamond"/>
                <w:sz w:val="24"/>
                <w:szCs w:val="24"/>
              </w:rPr>
              <w:br/>
              <w:t xml:space="preserve">The independent variable was the implementation of the quality improvement intervention, which combined three components: use of a structured daily </w:t>
            </w:r>
            <w:r w:rsidRPr="00990078">
              <w:rPr>
                <w:rFonts w:ascii="Garamond" w:hAnsi="Garamond"/>
                <w:sz w:val="24"/>
                <w:szCs w:val="24"/>
              </w:rPr>
              <w:lastRenderedPageBreak/>
              <w:t>checklist during ICU rounds, explicit goal setting for patient care, and clinician prompting when care processes were missed. Hospitals in the control group continued usual care without these tools.</w:t>
            </w:r>
          </w:p>
          <w:p w14:paraId="0ECD93A2" w14:textId="77777777" w:rsidR="00990078" w:rsidRPr="00990078" w:rsidRDefault="00990078" w:rsidP="00BE0EA1">
            <w:pPr>
              <w:rPr>
                <w:rFonts w:ascii="Garamond" w:hAnsi="Garamond"/>
                <w:sz w:val="24"/>
                <w:szCs w:val="24"/>
              </w:rPr>
            </w:pPr>
            <w:r w:rsidRPr="00990078">
              <w:rPr>
                <w:rFonts w:ascii="Garamond" w:hAnsi="Garamond"/>
                <w:b/>
                <w:bCs/>
                <w:sz w:val="24"/>
                <w:szCs w:val="24"/>
              </w:rPr>
              <w:t>Dependent Variable</w:t>
            </w:r>
            <w:r w:rsidRPr="00990078">
              <w:rPr>
                <w:rFonts w:ascii="Garamond" w:hAnsi="Garamond"/>
                <w:sz w:val="24"/>
                <w:szCs w:val="24"/>
              </w:rPr>
              <w:br/>
              <w:t xml:space="preserve">The dependent variable was patient outcomes, with the primary outcome being in-hospital mortality within </w:t>
            </w:r>
            <w:r w:rsidRPr="00990078">
              <w:rPr>
                <w:rFonts w:ascii="Garamond" w:hAnsi="Garamond"/>
                <w:sz w:val="24"/>
                <w:szCs w:val="24"/>
              </w:rPr>
              <w:lastRenderedPageBreak/>
              <w:t>60 days of ICU admission. Secondary dependent variables included adherence to evidence-based care processes, ICU length of stay, and overall patient safety indicators.</w:t>
            </w:r>
          </w:p>
          <w:p w14:paraId="7FA55BB4" w14:textId="77777777" w:rsidR="00990078" w:rsidRPr="00990078" w:rsidRDefault="00990078" w:rsidP="00BE0EA1">
            <w:pPr>
              <w:rPr>
                <w:rFonts w:ascii="Garamond" w:hAnsi="Garamond"/>
                <w:b/>
                <w:bCs/>
                <w:sz w:val="24"/>
                <w:szCs w:val="24"/>
              </w:rPr>
            </w:pPr>
          </w:p>
        </w:tc>
        <w:tc>
          <w:tcPr>
            <w:tcW w:w="556" w:type="pct"/>
          </w:tcPr>
          <w:p w14:paraId="05BC0EE4"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central theme of the study is the use of structured checklists and daily goal setting as quality improvement strategies in intensive care units (ICUs). The </w:t>
            </w:r>
            <w:r w:rsidRPr="00990078">
              <w:rPr>
                <w:rFonts w:ascii="Garamond" w:hAnsi="Garamond"/>
                <w:sz w:val="24"/>
                <w:szCs w:val="24"/>
              </w:rPr>
              <w:lastRenderedPageBreak/>
              <w:t>authors explored whether these interventions could improve adherence to best practices and reduce patient mortality in critical care.</w:t>
            </w:r>
          </w:p>
        </w:tc>
        <w:tc>
          <w:tcPr>
            <w:tcW w:w="556" w:type="pct"/>
          </w:tcPr>
          <w:p w14:paraId="1A93F61B"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trial found that the intervention increased adherence to evidence-based care processes and improved communication within care teams. However, the intervention did </w:t>
            </w:r>
            <w:r w:rsidRPr="00990078">
              <w:rPr>
                <w:rFonts w:ascii="Garamond" w:hAnsi="Garamond"/>
                <w:sz w:val="24"/>
                <w:szCs w:val="24"/>
              </w:rPr>
              <w:lastRenderedPageBreak/>
              <w:t>not significantly reduce in-hospital mortality within 60 days compared to usual care. While clinical outcomes like mortality did not improve as expected, process outcomes such as consistency of care delivery and safety climate scores showed meaningful gains.</w:t>
            </w:r>
          </w:p>
          <w:p w14:paraId="395522E8" w14:textId="77777777" w:rsidR="00990078" w:rsidRPr="00990078" w:rsidRDefault="00990078" w:rsidP="00BE0EA1">
            <w:pPr>
              <w:rPr>
                <w:rFonts w:ascii="Garamond" w:hAnsi="Garamond"/>
                <w:sz w:val="24"/>
                <w:szCs w:val="24"/>
              </w:rPr>
            </w:pPr>
          </w:p>
        </w:tc>
        <w:tc>
          <w:tcPr>
            <w:tcW w:w="556" w:type="pct"/>
          </w:tcPr>
          <w:p w14:paraId="1228E17F"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When compared with other healthcare checklist literature, the study reinforces that checklists enhance process reliability, teamwork, and communication, even if clinical outcome</w:t>
            </w:r>
            <w:r w:rsidRPr="00990078">
              <w:rPr>
                <w:rFonts w:ascii="Garamond" w:hAnsi="Garamond"/>
                <w:sz w:val="24"/>
                <w:szCs w:val="24"/>
              </w:rPr>
              <w:lastRenderedPageBreak/>
              <w:t>s such as mortality are not always directly impacted. Across multiple studies, a consistent finding is that structured tools standardize care delivery, reduce variability, and improve adherence to protocols. These benefits are most effective when combined with leadership support and active clinician engagement.</w:t>
            </w:r>
          </w:p>
          <w:p w14:paraId="455F75FD" w14:textId="77777777" w:rsidR="00990078" w:rsidRPr="00990078" w:rsidRDefault="00990078" w:rsidP="00BE0EA1">
            <w:pPr>
              <w:rPr>
                <w:rFonts w:ascii="Garamond" w:hAnsi="Garamond"/>
                <w:sz w:val="24"/>
                <w:szCs w:val="24"/>
              </w:rPr>
            </w:pPr>
          </w:p>
        </w:tc>
        <w:tc>
          <w:tcPr>
            <w:tcW w:w="556" w:type="pct"/>
          </w:tcPr>
          <w:p w14:paraId="7A3E553B"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article did not provide a formal cost-effectiveness analysis. However, the improvements in process adherence and reduction of missed care opportunities imply potential downstr</w:t>
            </w:r>
            <w:r w:rsidRPr="00990078">
              <w:rPr>
                <w:rFonts w:ascii="Garamond" w:hAnsi="Garamond"/>
                <w:sz w:val="24"/>
                <w:szCs w:val="24"/>
              </w:rPr>
              <w:lastRenderedPageBreak/>
              <w:t xml:space="preserve">eam savings. By ensuring greater compliance with evidence-based practices, checklist use can prevent costly complications, reduce unnecessary ICU days, and lower resource waste. Although mortality outcomes did not change, the process improvements support the notion that checklists can contribute indirectly to </w:t>
            </w:r>
            <w:r w:rsidRPr="00990078">
              <w:rPr>
                <w:rFonts w:ascii="Garamond" w:hAnsi="Garamond"/>
                <w:sz w:val="24"/>
                <w:szCs w:val="24"/>
              </w:rPr>
              <w:lastRenderedPageBreak/>
              <w:t>financial efficiency in critical care settings.</w:t>
            </w:r>
          </w:p>
          <w:p w14:paraId="4458AEF8" w14:textId="77777777" w:rsidR="00990078" w:rsidRPr="00990078" w:rsidRDefault="00990078" w:rsidP="00BE0EA1">
            <w:pPr>
              <w:rPr>
                <w:rFonts w:ascii="Garamond" w:hAnsi="Garamond"/>
                <w:sz w:val="24"/>
                <w:szCs w:val="24"/>
              </w:rPr>
            </w:pPr>
          </w:p>
        </w:tc>
        <w:tc>
          <w:tcPr>
            <w:tcW w:w="556" w:type="pct"/>
          </w:tcPr>
          <w:p w14:paraId="193D47B9"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trial was limited by its cluster-randomized design, which introduced variability across 118 intensive care units with differing resources, staffing, and baseline practices</w:t>
            </w:r>
            <w:r w:rsidRPr="00990078">
              <w:rPr>
                <w:rFonts w:ascii="Garamond" w:hAnsi="Garamond"/>
                <w:sz w:val="24"/>
                <w:szCs w:val="24"/>
              </w:rPr>
              <w:lastRenderedPageBreak/>
              <w:t xml:space="preserve">. Although the intervention improved adherence to care processes, it did not significantly reduce in-hospital mortality, raising questions about the clinical impact of checklist use in critical care. The study was conducted entirely in Brazil, which may limit generalizability to healthcare systems </w:t>
            </w:r>
            <w:r w:rsidRPr="00990078">
              <w:rPr>
                <w:rFonts w:ascii="Garamond" w:hAnsi="Garamond"/>
                <w:sz w:val="24"/>
                <w:szCs w:val="24"/>
              </w:rPr>
              <w:lastRenderedPageBreak/>
              <w:t>with different infrastructures or regulatory environments. Additionally, the follow-up period focused on short-term outcomes and did not assess whether improvements in process adherence were sustained over time.</w:t>
            </w:r>
          </w:p>
          <w:p w14:paraId="5EF53FB3" w14:textId="77777777" w:rsidR="00990078" w:rsidRPr="00990078" w:rsidRDefault="00990078" w:rsidP="00BE0EA1">
            <w:pPr>
              <w:rPr>
                <w:rFonts w:ascii="Garamond" w:hAnsi="Garamond"/>
                <w:sz w:val="24"/>
                <w:szCs w:val="24"/>
              </w:rPr>
            </w:pPr>
          </w:p>
        </w:tc>
      </w:tr>
      <w:tr w:rsidR="00990078" w:rsidRPr="00990078" w14:paraId="3E9A8FB7" w14:textId="77777777" w:rsidTr="00990078">
        <w:tc>
          <w:tcPr>
            <w:tcW w:w="5000" w:type="pct"/>
            <w:gridSpan w:val="9"/>
            <w:shd w:val="clear" w:color="auto" w:fill="E8E8E8" w:themeFill="background2"/>
          </w:tcPr>
          <w:p w14:paraId="7C78BA93" w14:textId="77777777" w:rsidR="00990078" w:rsidRPr="00990078" w:rsidRDefault="00990078" w:rsidP="00BE0EA1">
            <w:pPr>
              <w:rPr>
                <w:rFonts w:ascii="Garamond" w:hAnsi="Garamond"/>
                <w:b/>
                <w:bCs/>
                <w:sz w:val="24"/>
                <w:szCs w:val="24"/>
              </w:rPr>
            </w:pPr>
            <w:r w:rsidRPr="00990078">
              <w:rPr>
                <w:rFonts w:ascii="Garamond" w:hAnsi="Garamond"/>
                <w:b/>
                <w:bCs/>
                <w:sz w:val="24"/>
                <w:szCs w:val="24"/>
              </w:rPr>
              <w:lastRenderedPageBreak/>
              <w:t>Billing, Denials, and Revenue Cycle Management: Structured billing tools (checklists, predictive analytics, workflows) reduce errors, improve accuracy, and cut claim denials.</w:t>
            </w:r>
          </w:p>
        </w:tc>
      </w:tr>
      <w:tr w:rsidR="00990078" w:rsidRPr="00990078" w14:paraId="0494B085" w14:textId="77777777" w:rsidTr="00990078">
        <w:tc>
          <w:tcPr>
            <w:tcW w:w="555" w:type="pct"/>
          </w:tcPr>
          <w:p w14:paraId="4A883DAA"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Chandramouli, A. (2021). Leveraging predictive analytics to minimize claim denials </w:t>
            </w:r>
            <w:r w:rsidRPr="00990078">
              <w:rPr>
                <w:rFonts w:ascii="Garamond" w:hAnsi="Garamond"/>
                <w:sz w:val="24"/>
                <w:szCs w:val="24"/>
              </w:rPr>
              <w:lastRenderedPageBreak/>
              <w:t>in healthcare revenue cycle management. </w:t>
            </w:r>
            <w:r w:rsidRPr="00990078">
              <w:rPr>
                <w:rFonts w:ascii="Garamond" w:hAnsi="Garamond"/>
                <w:i/>
                <w:iCs/>
                <w:sz w:val="24"/>
                <w:szCs w:val="24"/>
              </w:rPr>
              <w:t>Journal of Technological Innovations</w:t>
            </w:r>
            <w:r w:rsidRPr="00990078">
              <w:rPr>
                <w:rFonts w:ascii="Garamond" w:hAnsi="Garamond"/>
                <w:sz w:val="24"/>
                <w:szCs w:val="24"/>
              </w:rPr>
              <w:t>, 2(4). https://jtipublishing.com/jti/article/view/37</w:t>
            </w:r>
          </w:p>
          <w:p w14:paraId="67B288F5" w14:textId="77777777" w:rsidR="00990078" w:rsidRPr="00990078" w:rsidRDefault="00990078" w:rsidP="00BE0EA1">
            <w:pPr>
              <w:rPr>
                <w:rFonts w:ascii="Garamond" w:hAnsi="Garamond"/>
                <w:sz w:val="24"/>
                <w:szCs w:val="24"/>
              </w:rPr>
            </w:pPr>
          </w:p>
          <w:p w14:paraId="473D15EA" w14:textId="77777777" w:rsidR="00990078" w:rsidRPr="00990078" w:rsidRDefault="00990078" w:rsidP="00BE0EA1">
            <w:pPr>
              <w:rPr>
                <w:rFonts w:ascii="Garamond" w:hAnsi="Garamond"/>
                <w:sz w:val="24"/>
                <w:szCs w:val="24"/>
              </w:rPr>
            </w:pPr>
          </w:p>
          <w:p w14:paraId="0D7E95F7" w14:textId="77777777" w:rsidR="00990078" w:rsidRPr="00990078" w:rsidRDefault="00990078" w:rsidP="00BE0EA1">
            <w:pPr>
              <w:rPr>
                <w:rFonts w:ascii="Garamond" w:hAnsi="Garamond"/>
                <w:sz w:val="24"/>
                <w:szCs w:val="24"/>
              </w:rPr>
            </w:pPr>
          </w:p>
        </w:tc>
        <w:tc>
          <w:tcPr>
            <w:tcW w:w="556" w:type="pct"/>
          </w:tcPr>
          <w:p w14:paraId="4C4BE40B"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study used a real-world dataset of healthcare claims from a U.S.-based provider </w:t>
            </w:r>
            <w:r w:rsidRPr="00990078">
              <w:rPr>
                <w:rFonts w:ascii="Garamond" w:hAnsi="Garamond"/>
                <w:sz w:val="24"/>
                <w:szCs w:val="24"/>
              </w:rPr>
              <w:lastRenderedPageBreak/>
              <w:t xml:space="preserve">network. The dataset included both inpatient and outpatient claims across multiple specialties. It also featured a diverse mix of payer types, including private insurers, Medicare, and Medicaid. The claims varied in complexity and included a range of procedures and diagnoses, making the dataset representative of typical healthcare billing </w:t>
            </w:r>
            <w:r w:rsidRPr="00990078">
              <w:rPr>
                <w:rFonts w:ascii="Garamond" w:hAnsi="Garamond"/>
                <w:sz w:val="24"/>
                <w:szCs w:val="24"/>
              </w:rPr>
              <w:lastRenderedPageBreak/>
              <w:t>environments.</w:t>
            </w:r>
          </w:p>
          <w:p w14:paraId="1678667F" w14:textId="77777777" w:rsidR="00990078" w:rsidRPr="00990078" w:rsidRDefault="00990078" w:rsidP="00BE0EA1">
            <w:pPr>
              <w:rPr>
                <w:rFonts w:ascii="Garamond" w:hAnsi="Garamond"/>
                <w:sz w:val="24"/>
                <w:szCs w:val="24"/>
              </w:rPr>
            </w:pPr>
          </w:p>
        </w:tc>
        <w:tc>
          <w:tcPr>
            <w:tcW w:w="556" w:type="pct"/>
          </w:tcPr>
          <w:p w14:paraId="2400CA37"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study followed a structured machine learning pipeline. First, the author perform</w:t>
            </w:r>
            <w:r w:rsidRPr="00990078">
              <w:rPr>
                <w:rFonts w:ascii="Garamond" w:hAnsi="Garamond"/>
                <w:sz w:val="24"/>
                <w:szCs w:val="24"/>
              </w:rPr>
              <w:lastRenderedPageBreak/>
              <w:t xml:space="preserve">ed data preprocessing, which included cleaning the dataset, handling missing values, and encoding categorical variables. Next, feature selection was conducted to identify the most influential variables, such as procedure codes, payer type, and documentation completeness. The dataset was then split into training and testing sets. Each </w:t>
            </w:r>
            <w:r w:rsidRPr="00990078">
              <w:rPr>
                <w:rFonts w:ascii="Garamond" w:hAnsi="Garamond"/>
                <w:sz w:val="24"/>
                <w:szCs w:val="24"/>
              </w:rPr>
              <w:lastRenderedPageBreak/>
              <w:t>model was trained on the training set and evaluated on the test set using standard classification metrics. The models were compared to determine which provided the most accurate and actionable predictions. The neural network model outperformed the others, achieving an AUC of 0.91.</w:t>
            </w:r>
          </w:p>
          <w:p w14:paraId="4D5A5CAC" w14:textId="77777777" w:rsidR="00990078" w:rsidRPr="00990078" w:rsidRDefault="00990078" w:rsidP="00BE0EA1">
            <w:pPr>
              <w:rPr>
                <w:rFonts w:ascii="Garamond" w:hAnsi="Garamond"/>
                <w:sz w:val="24"/>
                <w:szCs w:val="24"/>
              </w:rPr>
            </w:pPr>
          </w:p>
        </w:tc>
        <w:tc>
          <w:tcPr>
            <w:tcW w:w="556" w:type="pct"/>
          </w:tcPr>
          <w:p w14:paraId="1EA21145" w14:textId="77777777" w:rsidR="00990078" w:rsidRPr="00990078" w:rsidRDefault="00990078" w:rsidP="00BE0EA1">
            <w:pPr>
              <w:rPr>
                <w:rFonts w:ascii="Garamond" w:hAnsi="Garamond"/>
                <w:sz w:val="24"/>
                <w:szCs w:val="24"/>
              </w:rPr>
            </w:pPr>
            <w:r w:rsidRPr="00990078">
              <w:rPr>
                <w:rFonts w:ascii="Garamond" w:hAnsi="Garamond"/>
                <w:b/>
                <w:bCs/>
                <w:sz w:val="24"/>
                <w:szCs w:val="24"/>
              </w:rPr>
              <w:lastRenderedPageBreak/>
              <w:t>Dependent Variable</w:t>
            </w:r>
            <w:r w:rsidRPr="00990078">
              <w:rPr>
                <w:rFonts w:ascii="Garamond" w:hAnsi="Garamond"/>
                <w:sz w:val="24"/>
                <w:szCs w:val="24"/>
              </w:rPr>
              <w:br/>
              <w:t xml:space="preserve">The dependent variable is the claim denial rate. This was </w:t>
            </w:r>
            <w:r w:rsidRPr="00990078">
              <w:rPr>
                <w:rFonts w:ascii="Garamond" w:hAnsi="Garamond"/>
                <w:sz w:val="24"/>
                <w:szCs w:val="24"/>
              </w:rPr>
              <w:lastRenderedPageBreak/>
              <w:t xml:space="preserve">measured by comparing the number of denied claims before and after the implementation of predictive analytics. The study also used performance metrics such as accuracy, precision, recall, and the area under the ROC curve (AUC) to evaluate how well each model predicted denials. The neural </w:t>
            </w:r>
            <w:r w:rsidRPr="00990078">
              <w:rPr>
                <w:rFonts w:ascii="Garamond" w:hAnsi="Garamond"/>
                <w:sz w:val="24"/>
                <w:szCs w:val="24"/>
              </w:rPr>
              <w:lastRenderedPageBreak/>
              <w:t>network model achieved the highest AUC, indicating strong predictive performance.</w:t>
            </w:r>
          </w:p>
          <w:p w14:paraId="4A7D554A" w14:textId="77777777" w:rsidR="00990078" w:rsidRPr="00990078" w:rsidRDefault="00990078" w:rsidP="00BE0EA1">
            <w:pPr>
              <w:rPr>
                <w:rFonts w:ascii="Garamond" w:hAnsi="Garamond"/>
                <w:sz w:val="24"/>
                <w:szCs w:val="24"/>
              </w:rPr>
            </w:pPr>
          </w:p>
          <w:p w14:paraId="453DCDD3" w14:textId="77777777" w:rsidR="00990078" w:rsidRPr="00990078" w:rsidRDefault="00990078" w:rsidP="00BE0EA1">
            <w:pPr>
              <w:rPr>
                <w:rFonts w:ascii="Garamond" w:hAnsi="Garamond"/>
                <w:sz w:val="24"/>
                <w:szCs w:val="24"/>
              </w:rPr>
            </w:pPr>
            <w:r w:rsidRPr="00990078">
              <w:rPr>
                <w:rFonts w:ascii="Garamond" w:hAnsi="Garamond"/>
                <w:b/>
                <w:bCs/>
                <w:sz w:val="24"/>
                <w:szCs w:val="24"/>
              </w:rPr>
              <w:t>Independent Variable</w:t>
            </w:r>
            <w:r w:rsidRPr="00990078">
              <w:rPr>
                <w:rFonts w:ascii="Garamond" w:hAnsi="Garamond"/>
                <w:sz w:val="24"/>
                <w:szCs w:val="24"/>
              </w:rPr>
              <w:br/>
              <w:t>The independent variable in this study is the use of predictive analytics tools. Specifically, the study implemented three types of machine learning models:</w:t>
            </w:r>
          </w:p>
          <w:p w14:paraId="6F0DFE9A" w14:textId="77777777" w:rsidR="00990078" w:rsidRPr="00990078" w:rsidRDefault="00990078" w:rsidP="00BE0EA1">
            <w:pPr>
              <w:rPr>
                <w:rFonts w:ascii="Garamond" w:hAnsi="Garamond"/>
                <w:sz w:val="24"/>
                <w:szCs w:val="24"/>
              </w:rPr>
            </w:pPr>
          </w:p>
          <w:p w14:paraId="06ED49D1"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Logistic regression, which provided a baseline for </w:t>
            </w:r>
            <w:r w:rsidRPr="00990078">
              <w:rPr>
                <w:rFonts w:ascii="Garamond" w:hAnsi="Garamond"/>
                <w:sz w:val="24"/>
                <w:szCs w:val="24"/>
              </w:rPr>
              <w:lastRenderedPageBreak/>
              <w:t>binary classification of claims (approved vs. denied).</w:t>
            </w:r>
          </w:p>
          <w:p w14:paraId="583591BE" w14:textId="77777777" w:rsidR="00990078" w:rsidRPr="00990078" w:rsidRDefault="00990078" w:rsidP="00BE0EA1">
            <w:pPr>
              <w:rPr>
                <w:rFonts w:ascii="Garamond" w:hAnsi="Garamond"/>
                <w:sz w:val="24"/>
                <w:szCs w:val="24"/>
              </w:rPr>
            </w:pPr>
          </w:p>
          <w:p w14:paraId="1A25166B" w14:textId="77777777" w:rsidR="00990078" w:rsidRPr="00990078" w:rsidRDefault="00990078" w:rsidP="00BE0EA1">
            <w:pPr>
              <w:rPr>
                <w:rFonts w:ascii="Garamond" w:hAnsi="Garamond"/>
                <w:sz w:val="24"/>
                <w:szCs w:val="24"/>
              </w:rPr>
            </w:pPr>
            <w:r w:rsidRPr="00990078">
              <w:rPr>
                <w:rFonts w:ascii="Garamond" w:hAnsi="Garamond"/>
                <w:sz w:val="24"/>
                <w:szCs w:val="24"/>
              </w:rPr>
              <w:t>Decision trees, which offered interpretable rules for identifying denial risk.</w:t>
            </w:r>
          </w:p>
          <w:p w14:paraId="1BD9CC08" w14:textId="77777777" w:rsidR="00990078" w:rsidRPr="00990078" w:rsidRDefault="00990078" w:rsidP="00BE0EA1">
            <w:pPr>
              <w:rPr>
                <w:rFonts w:ascii="Garamond" w:hAnsi="Garamond"/>
                <w:sz w:val="24"/>
                <w:szCs w:val="24"/>
              </w:rPr>
            </w:pPr>
          </w:p>
          <w:p w14:paraId="0D751B7D" w14:textId="77777777" w:rsidR="00990078" w:rsidRPr="00990078" w:rsidRDefault="00990078" w:rsidP="00BE0EA1">
            <w:pPr>
              <w:rPr>
                <w:rFonts w:ascii="Garamond" w:hAnsi="Garamond"/>
                <w:sz w:val="24"/>
                <w:szCs w:val="24"/>
              </w:rPr>
            </w:pPr>
            <w:r w:rsidRPr="00990078">
              <w:rPr>
                <w:rFonts w:ascii="Garamond" w:hAnsi="Garamond"/>
                <w:sz w:val="24"/>
                <w:szCs w:val="24"/>
              </w:rPr>
              <w:t>Neural networks, which captured complex, nonlinear relationships in the data.</w:t>
            </w:r>
          </w:p>
          <w:p w14:paraId="60AC2FF3" w14:textId="77777777" w:rsidR="00990078" w:rsidRPr="00990078" w:rsidRDefault="00990078" w:rsidP="00BE0EA1">
            <w:pPr>
              <w:rPr>
                <w:rFonts w:ascii="Garamond" w:hAnsi="Garamond"/>
                <w:sz w:val="24"/>
                <w:szCs w:val="24"/>
              </w:rPr>
            </w:pPr>
          </w:p>
          <w:p w14:paraId="48B85731" w14:textId="77777777" w:rsidR="00990078" w:rsidRPr="00990078" w:rsidRDefault="00990078" w:rsidP="00BE0EA1">
            <w:pPr>
              <w:rPr>
                <w:rFonts w:ascii="Garamond" w:hAnsi="Garamond"/>
                <w:sz w:val="24"/>
                <w:szCs w:val="24"/>
              </w:rPr>
            </w:pPr>
            <w:r w:rsidRPr="00990078">
              <w:rPr>
                <w:rFonts w:ascii="Garamond" w:hAnsi="Garamond"/>
                <w:sz w:val="24"/>
                <w:szCs w:val="24"/>
              </w:rPr>
              <w:t>These tools were applied to historical claims data to predict the likelihood of denial for new claims.</w:t>
            </w:r>
          </w:p>
          <w:p w14:paraId="62F5CB70" w14:textId="77777777" w:rsidR="00990078" w:rsidRPr="00990078" w:rsidRDefault="00990078" w:rsidP="00BE0EA1">
            <w:pPr>
              <w:rPr>
                <w:rFonts w:ascii="Garamond" w:hAnsi="Garamond"/>
                <w:b/>
                <w:bCs/>
                <w:sz w:val="24"/>
                <w:szCs w:val="24"/>
              </w:rPr>
            </w:pPr>
          </w:p>
        </w:tc>
        <w:tc>
          <w:tcPr>
            <w:tcW w:w="556" w:type="pct"/>
          </w:tcPr>
          <w:p w14:paraId="0A8A8353"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article explores how predictive analytics, using machine learning models, can identify </w:t>
            </w:r>
            <w:r w:rsidRPr="00990078">
              <w:rPr>
                <w:rFonts w:ascii="Garamond" w:hAnsi="Garamond"/>
                <w:sz w:val="24"/>
                <w:szCs w:val="24"/>
              </w:rPr>
              <w:t>claims likely to be denied before submission. This early detection allows billing teams to correct issues proactively, reducing denial rates and improving financial efficiency.</w:t>
            </w:r>
          </w:p>
        </w:tc>
        <w:tc>
          <w:tcPr>
            <w:tcW w:w="556" w:type="pct"/>
          </w:tcPr>
          <w:p w14:paraId="7EDCAF63"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Key findings from the article include that predictive analytics especially neural networks can </w:t>
            </w:r>
            <w:r w:rsidRPr="00990078">
              <w:rPr>
                <w:rFonts w:ascii="Garamond" w:hAnsi="Garamond"/>
                <w:sz w:val="24"/>
                <w:szCs w:val="24"/>
              </w:rPr>
              <w:lastRenderedPageBreak/>
              <w:t>accurately identify claims likely to be denied, allowing billing teams to intervene before submission. This led to a measurable reduction in denial rates and improved revenue cycle efficiency.</w:t>
            </w:r>
          </w:p>
          <w:p w14:paraId="7341578E" w14:textId="77777777" w:rsidR="00990078" w:rsidRPr="00990078" w:rsidRDefault="00990078" w:rsidP="00BE0EA1">
            <w:pPr>
              <w:rPr>
                <w:rFonts w:ascii="Garamond" w:hAnsi="Garamond"/>
                <w:sz w:val="24"/>
                <w:szCs w:val="24"/>
              </w:rPr>
            </w:pPr>
          </w:p>
        </w:tc>
        <w:tc>
          <w:tcPr>
            <w:tcW w:w="556" w:type="pct"/>
          </w:tcPr>
          <w:p w14:paraId="2CC8E6B0"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Shared findings across the models used (logistic regression, decision trees, and neural </w:t>
            </w:r>
            <w:r w:rsidRPr="00990078">
              <w:rPr>
                <w:rFonts w:ascii="Garamond" w:hAnsi="Garamond"/>
                <w:sz w:val="24"/>
                <w:szCs w:val="24"/>
              </w:rPr>
              <w:lastRenderedPageBreak/>
              <w:t xml:space="preserve">networks) showed that certain features like procedure codes, payer type, and documentation completeness consistently influenced denial risk. All models demonstrated that early identification and correction of claims significantly </w:t>
            </w:r>
            <w:proofErr w:type="gramStart"/>
            <w:r w:rsidRPr="00990078">
              <w:rPr>
                <w:rFonts w:ascii="Garamond" w:hAnsi="Garamond"/>
                <w:sz w:val="24"/>
                <w:szCs w:val="24"/>
              </w:rPr>
              <w:t>improves</w:t>
            </w:r>
            <w:proofErr w:type="gramEnd"/>
            <w:r w:rsidRPr="00990078">
              <w:rPr>
                <w:rFonts w:ascii="Garamond" w:hAnsi="Garamond"/>
                <w:sz w:val="24"/>
                <w:szCs w:val="24"/>
              </w:rPr>
              <w:t xml:space="preserve"> financial outcomes.</w:t>
            </w:r>
          </w:p>
          <w:p w14:paraId="3246AA68" w14:textId="77777777" w:rsidR="00990078" w:rsidRPr="00990078" w:rsidRDefault="00990078" w:rsidP="00BE0EA1">
            <w:pPr>
              <w:rPr>
                <w:rFonts w:ascii="Garamond" w:hAnsi="Garamond"/>
                <w:sz w:val="24"/>
                <w:szCs w:val="24"/>
              </w:rPr>
            </w:pPr>
          </w:p>
        </w:tc>
        <w:tc>
          <w:tcPr>
            <w:tcW w:w="556" w:type="pct"/>
          </w:tcPr>
          <w:p w14:paraId="5C0421A9"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article shows that predictive analytics can identify claims likely to be denied </w:t>
            </w:r>
            <w:r w:rsidRPr="00990078">
              <w:rPr>
                <w:rFonts w:ascii="Garamond" w:hAnsi="Garamond"/>
                <w:sz w:val="24"/>
                <w:szCs w:val="24"/>
              </w:rPr>
              <w:lastRenderedPageBreak/>
              <w:t>before submission, allowing billing teams to correct errors early. This proactive approach reduces denial rates and improves financial performance through more efficient claim processing.</w:t>
            </w:r>
          </w:p>
          <w:p w14:paraId="258C2DFB" w14:textId="77777777" w:rsidR="00990078" w:rsidRPr="00990078" w:rsidRDefault="00990078" w:rsidP="00BE0EA1">
            <w:pPr>
              <w:rPr>
                <w:rFonts w:ascii="Garamond" w:hAnsi="Garamond"/>
                <w:sz w:val="24"/>
                <w:szCs w:val="24"/>
              </w:rPr>
            </w:pPr>
          </w:p>
        </w:tc>
        <w:tc>
          <w:tcPr>
            <w:tcW w:w="556" w:type="pct"/>
          </w:tcPr>
          <w:p w14:paraId="0DCCCB01"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study was limited by its reliance on retrospective claims data from a single </w:t>
            </w:r>
            <w:r w:rsidRPr="00990078">
              <w:rPr>
                <w:rFonts w:ascii="Garamond" w:hAnsi="Garamond"/>
                <w:sz w:val="24"/>
                <w:szCs w:val="24"/>
              </w:rPr>
              <w:lastRenderedPageBreak/>
              <w:t xml:space="preserve">U.S. provider network, which may not capture all payer or practice settings and reduces generalizability. While predictive analytics showed strong performance, the findings were based on simulated modeling and historical data rather than prospective implementation, so real-world effectiveness could differ. The study </w:t>
            </w:r>
            <w:r w:rsidRPr="00990078">
              <w:rPr>
                <w:rFonts w:ascii="Garamond" w:hAnsi="Garamond"/>
                <w:sz w:val="24"/>
                <w:szCs w:val="24"/>
              </w:rPr>
              <w:lastRenderedPageBreak/>
              <w:t>also focused primarily on technical accuracy and denial prediction, without examining broader organizational factors such as staff training, workflow integration, or payer policy changes that may also influence denial outcomes.</w:t>
            </w:r>
          </w:p>
        </w:tc>
      </w:tr>
      <w:tr w:rsidR="00990078" w:rsidRPr="00990078" w14:paraId="306D5796" w14:textId="77777777" w:rsidTr="00990078">
        <w:tc>
          <w:tcPr>
            <w:tcW w:w="555" w:type="pct"/>
          </w:tcPr>
          <w:p w14:paraId="574498E9" w14:textId="77777777" w:rsidR="00990078" w:rsidRPr="00990078" w:rsidRDefault="00990078" w:rsidP="00BE0EA1">
            <w:pPr>
              <w:rPr>
                <w:rFonts w:ascii="Garamond" w:hAnsi="Garamond"/>
                <w:sz w:val="24"/>
                <w:szCs w:val="24"/>
              </w:rPr>
            </w:pPr>
          </w:p>
          <w:p w14:paraId="7DAAFE21"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Alkeelani, A., </w:t>
            </w:r>
            <w:proofErr w:type="spellStart"/>
            <w:r w:rsidRPr="00990078">
              <w:rPr>
                <w:rFonts w:ascii="Garamond" w:hAnsi="Garamond"/>
                <w:sz w:val="24"/>
                <w:szCs w:val="24"/>
              </w:rPr>
              <w:t>Alfazari</w:t>
            </w:r>
            <w:proofErr w:type="spellEnd"/>
            <w:r w:rsidRPr="00990078">
              <w:rPr>
                <w:rFonts w:ascii="Garamond" w:hAnsi="Garamond"/>
                <w:sz w:val="24"/>
                <w:szCs w:val="24"/>
              </w:rPr>
              <w:t xml:space="preserve">, A., &amp; Sallam, M. (2025). Reducing insurance claim rejections through Lean Six Sigma: A quality improvement initiative at Mediclinic </w:t>
            </w:r>
            <w:proofErr w:type="spellStart"/>
            <w:r w:rsidRPr="00990078">
              <w:rPr>
                <w:rFonts w:ascii="Garamond" w:hAnsi="Garamond"/>
                <w:sz w:val="24"/>
                <w:szCs w:val="24"/>
              </w:rPr>
              <w:t>Welcare</w:t>
            </w:r>
            <w:proofErr w:type="spellEnd"/>
            <w:r w:rsidRPr="00990078">
              <w:rPr>
                <w:rFonts w:ascii="Garamond" w:hAnsi="Garamond"/>
                <w:sz w:val="24"/>
                <w:szCs w:val="24"/>
              </w:rPr>
              <w:t xml:space="preserve"> Hospital, UAE. </w:t>
            </w:r>
            <w:r w:rsidRPr="00990078">
              <w:rPr>
                <w:rFonts w:ascii="Garamond" w:hAnsi="Garamond"/>
                <w:i/>
                <w:iCs/>
                <w:sz w:val="24"/>
                <w:szCs w:val="24"/>
              </w:rPr>
              <w:t>Jordan Journal of Applied Science: Natural Science Series</w:t>
            </w:r>
            <w:r w:rsidRPr="00990078">
              <w:rPr>
                <w:rFonts w:ascii="Garamond" w:hAnsi="Garamond"/>
                <w:sz w:val="24"/>
                <w:szCs w:val="24"/>
              </w:rPr>
              <w:t>, 19. https://doi.org/10.35192/jjoas-n.v19i0.2054</w:t>
            </w:r>
          </w:p>
          <w:p w14:paraId="23E42FE0" w14:textId="77777777" w:rsidR="00990078" w:rsidRPr="00990078" w:rsidRDefault="00990078" w:rsidP="00BE0EA1">
            <w:pPr>
              <w:rPr>
                <w:rFonts w:ascii="Garamond" w:hAnsi="Garamond"/>
                <w:sz w:val="24"/>
                <w:szCs w:val="24"/>
              </w:rPr>
            </w:pPr>
          </w:p>
          <w:p w14:paraId="040D6FD5" w14:textId="77777777" w:rsidR="00990078" w:rsidRPr="00990078" w:rsidRDefault="00990078" w:rsidP="00BE0EA1">
            <w:pPr>
              <w:rPr>
                <w:rFonts w:ascii="Garamond" w:hAnsi="Garamond"/>
                <w:sz w:val="24"/>
                <w:szCs w:val="24"/>
              </w:rPr>
            </w:pPr>
          </w:p>
          <w:p w14:paraId="1287EE7C" w14:textId="77777777" w:rsidR="00990078" w:rsidRPr="00990078" w:rsidRDefault="00990078" w:rsidP="00BE0EA1">
            <w:pPr>
              <w:rPr>
                <w:rFonts w:ascii="Garamond" w:hAnsi="Garamond"/>
                <w:sz w:val="24"/>
                <w:szCs w:val="24"/>
              </w:rPr>
            </w:pPr>
          </w:p>
        </w:tc>
        <w:tc>
          <w:tcPr>
            <w:tcW w:w="556" w:type="pct"/>
          </w:tcPr>
          <w:p w14:paraId="03D4D60E"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The study focused on hospital pharmacy staff and the insurance claims they processed at Mediclinic </w:t>
            </w:r>
            <w:proofErr w:type="spellStart"/>
            <w:r w:rsidRPr="00990078">
              <w:rPr>
                <w:rFonts w:ascii="Garamond" w:hAnsi="Garamond"/>
                <w:sz w:val="24"/>
                <w:szCs w:val="24"/>
              </w:rPr>
              <w:t>Welcare</w:t>
            </w:r>
            <w:proofErr w:type="spellEnd"/>
            <w:r w:rsidRPr="00990078">
              <w:rPr>
                <w:rFonts w:ascii="Garamond" w:hAnsi="Garamond"/>
                <w:sz w:val="24"/>
                <w:szCs w:val="24"/>
              </w:rPr>
              <w:t xml:space="preserve"> Hospital in Dubai, UAE. Data were collected over a six-month period in 2024, involving claims submitted to various insurers. The population included both the personnel responsible for billing and the claims </w:t>
            </w:r>
            <w:r w:rsidRPr="00990078">
              <w:rPr>
                <w:rFonts w:ascii="Garamond" w:hAnsi="Garamond"/>
                <w:sz w:val="24"/>
                <w:szCs w:val="24"/>
              </w:rPr>
              <w:lastRenderedPageBreak/>
              <w:t>themselves, which were analyzed for rejection patterns before and after the checklist intervention.</w:t>
            </w:r>
          </w:p>
          <w:p w14:paraId="172483BF" w14:textId="77777777" w:rsidR="00990078" w:rsidRPr="00990078" w:rsidRDefault="00990078" w:rsidP="00BE0EA1">
            <w:pPr>
              <w:rPr>
                <w:rFonts w:ascii="Garamond" w:hAnsi="Garamond"/>
                <w:sz w:val="24"/>
                <w:szCs w:val="24"/>
              </w:rPr>
            </w:pPr>
          </w:p>
        </w:tc>
        <w:tc>
          <w:tcPr>
            <w:tcW w:w="556" w:type="pct"/>
          </w:tcPr>
          <w:p w14:paraId="6EDEF3C0"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study used the Lean Six Sigma DMAIC framework to guide its checklist-based intervention. In the Define phase, the team identified high rejection rates in pharmacy insurance claims. During Measure, they collected baseline data on billing accuracy and staff competency. In the Analyze phase, they mapped process gaps and identified root causes, </w:t>
            </w:r>
            <w:r w:rsidRPr="00990078">
              <w:rPr>
                <w:rFonts w:ascii="Garamond" w:hAnsi="Garamond"/>
                <w:sz w:val="24"/>
                <w:szCs w:val="24"/>
              </w:rPr>
              <w:lastRenderedPageBreak/>
              <w:t>such as inconsistent documentation and lack of standardized procedures. The Improve phase introduced a detailed checklist for claim submission, staff training, and workflow adjustments. Finally, in the Control phase, they monitored key performance indicators using statistical tools like the Mann-Whitney U test and tracked improve</w:t>
            </w:r>
            <w:r w:rsidRPr="00990078">
              <w:rPr>
                <w:rFonts w:ascii="Garamond" w:hAnsi="Garamond"/>
                <w:sz w:val="24"/>
                <w:szCs w:val="24"/>
              </w:rPr>
              <w:lastRenderedPageBreak/>
              <w:t>ments in billing accuracy and rejection rates over time.</w:t>
            </w:r>
          </w:p>
          <w:p w14:paraId="7A3A03E2" w14:textId="77777777" w:rsidR="00990078" w:rsidRPr="00990078" w:rsidRDefault="00990078" w:rsidP="00BE0EA1">
            <w:pPr>
              <w:rPr>
                <w:rFonts w:ascii="Garamond" w:hAnsi="Garamond"/>
                <w:sz w:val="24"/>
                <w:szCs w:val="24"/>
              </w:rPr>
            </w:pPr>
          </w:p>
        </w:tc>
        <w:tc>
          <w:tcPr>
            <w:tcW w:w="556" w:type="pct"/>
          </w:tcPr>
          <w:p w14:paraId="1EB3EE1D" w14:textId="77777777" w:rsidR="00990078" w:rsidRPr="00990078" w:rsidRDefault="00990078" w:rsidP="00BE0EA1">
            <w:pPr>
              <w:rPr>
                <w:rFonts w:ascii="Garamond" w:hAnsi="Garamond"/>
                <w:b/>
                <w:bCs/>
                <w:sz w:val="24"/>
                <w:szCs w:val="24"/>
              </w:rPr>
            </w:pPr>
            <w:r w:rsidRPr="00990078">
              <w:rPr>
                <w:rFonts w:ascii="Garamond" w:hAnsi="Garamond"/>
                <w:b/>
                <w:bCs/>
                <w:sz w:val="24"/>
                <w:szCs w:val="24"/>
              </w:rPr>
              <w:lastRenderedPageBreak/>
              <w:t>Independent Variable</w:t>
            </w:r>
            <w:r w:rsidRPr="00990078">
              <w:rPr>
                <w:rFonts w:ascii="Garamond" w:hAnsi="Garamond"/>
                <w:sz w:val="24"/>
                <w:szCs w:val="24"/>
              </w:rPr>
              <w:t xml:space="preserve">: The implementation of a Lean Six Sigma checklist intervention designed to improve the accuracy and completeness of insurance claim submissions. </w:t>
            </w:r>
            <w:r w:rsidRPr="00990078">
              <w:rPr>
                <w:rFonts w:ascii="Garamond" w:hAnsi="Garamond"/>
                <w:b/>
                <w:bCs/>
                <w:sz w:val="24"/>
                <w:szCs w:val="24"/>
              </w:rPr>
              <w:t>Dependent Variables</w:t>
            </w:r>
            <w:r w:rsidRPr="00990078">
              <w:rPr>
                <w:rFonts w:ascii="Garamond" w:hAnsi="Garamond"/>
                <w:sz w:val="24"/>
                <w:szCs w:val="24"/>
              </w:rPr>
              <w:t>: The insurance claim rejection rate, staff competency in handling claims, billing accuracy, and the total cost associated with rejected claims.</w:t>
            </w:r>
          </w:p>
        </w:tc>
        <w:tc>
          <w:tcPr>
            <w:tcW w:w="556" w:type="pct"/>
          </w:tcPr>
          <w:p w14:paraId="77C28F7F" w14:textId="77777777" w:rsidR="00990078" w:rsidRPr="00990078" w:rsidRDefault="00990078" w:rsidP="00BE0EA1">
            <w:pPr>
              <w:rPr>
                <w:rFonts w:ascii="Garamond" w:hAnsi="Garamond"/>
                <w:sz w:val="24"/>
                <w:szCs w:val="24"/>
              </w:rPr>
            </w:pPr>
            <w:r w:rsidRPr="00990078">
              <w:rPr>
                <w:rFonts w:ascii="Garamond" w:hAnsi="Garamond"/>
                <w:sz w:val="24"/>
                <w:szCs w:val="24"/>
              </w:rPr>
              <w:t>The article focuses on using a Lean Six Sigma checklist to reduce insurance claim rejections in a hospital setting. The central theme is that structured, checklist-driven process improvements can significantly enhance billing accuracy, reduce administrative errors, and lower the financial impact of denied claims.</w:t>
            </w:r>
          </w:p>
          <w:p w14:paraId="7E07E77B" w14:textId="77777777" w:rsidR="00990078" w:rsidRPr="00990078" w:rsidRDefault="00990078" w:rsidP="00BE0EA1">
            <w:pPr>
              <w:rPr>
                <w:rFonts w:ascii="Garamond" w:hAnsi="Garamond"/>
                <w:sz w:val="24"/>
                <w:szCs w:val="24"/>
              </w:rPr>
            </w:pPr>
          </w:p>
        </w:tc>
        <w:tc>
          <w:tcPr>
            <w:tcW w:w="556" w:type="pct"/>
          </w:tcPr>
          <w:p w14:paraId="10484CB4"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The implementation of a Lean Six Sigma checklist significantly reduced insurance claim rejections at Mediclinic </w:t>
            </w:r>
            <w:proofErr w:type="spellStart"/>
            <w:r w:rsidRPr="00990078">
              <w:rPr>
                <w:rFonts w:ascii="Garamond" w:hAnsi="Garamond"/>
                <w:sz w:val="24"/>
                <w:szCs w:val="24"/>
              </w:rPr>
              <w:t>Welcare</w:t>
            </w:r>
            <w:proofErr w:type="spellEnd"/>
            <w:r w:rsidRPr="00990078">
              <w:rPr>
                <w:rFonts w:ascii="Garamond" w:hAnsi="Garamond"/>
                <w:sz w:val="24"/>
                <w:szCs w:val="24"/>
              </w:rPr>
              <w:t xml:space="preserve"> Hospital. Staff competency in handling claims increased from 50% to 93%, billing accuracy improved from 45% to 95%, and the total cost associated with rejected claims dropped by 70%. The checklist helped standard</w:t>
            </w:r>
            <w:r w:rsidRPr="00990078">
              <w:rPr>
                <w:rFonts w:ascii="Garamond" w:hAnsi="Garamond"/>
                <w:sz w:val="24"/>
                <w:szCs w:val="24"/>
              </w:rPr>
              <w:lastRenderedPageBreak/>
              <w:t>ize documentation and submission processes, leading to more consistent and accurate claims.</w:t>
            </w:r>
          </w:p>
        </w:tc>
        <w:tc>
          <w:tcPr>
            <w:tcW w:w="556" w:type="pct"/>
          </w:tcPr>
          <w:p w14:paraId="40B341F9"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Across all phases of the intervention, the study found that structured workflows, staff training, and checklist use consistently improved claim outcomes. The checklist was effective in identifying common errors, ensuring compliance with payer requirements, and reducing variability in claim processing. These improve</w:t>
            </w:r>
            <w:r w:rsidRPr="00990078">
              <w:rPr>
                <w:rFonts w:ascii="Garamond" w:hAnsi="Garamond"/>
                <w:sz w:val="24"/>
                <w:szCs w:val="24"/>
              </w:rPr>
              <w:lastRenderedPageBreak/>
              <w:t>ments were sustained over time, demonstrating the value of checklist-based quality control in healthcare billing.</w:t>
            </w:r>
          </w:p>
        </w:tc>
        <w:tc>
          <w:tcPr>
            <w:tcW w:w="556" w:type="pct"/>
          </w:tcPr>
          <w:p w14:paraId="37F6CA38" w14:textId="77777777" w:rsidR="00990078" w:rsidRPr="00990078" w:rsidRDefault="00990078" w:rsidP="00BE0EA1">
            <w:pPr>
              <w:rPr>
                <w:rFonts w:ascii="Garamond" w:hAnsi="Garamond"/>
                <w:sz w:val="24"/>
                <w:szCs w:val="24"/>
              </w:rPr>
            </w:pPr>
            <w:proofErr w:type="gramStart"/>
            <w:r w:rsidRPr="00990078">
              <w:rPr>
                <w:rFonts w:ascii="Garamond" w:hAnsi="Garamond"/>
                <w:sz w:val="24"/>
                <w:szCs w:val="24"/>
              </w:rPr>
              <w:lastRenderedPageBreak/>
              <w:t>The  cost</w:t>
            </w:r>
            <w:proofErr w:type="gramEnd"/>
            <w:r w:rsidRPr="00990078">
              <w:rPr>
                <w:rFonts w:ascii="Garamond" w:hAnsi="Garamond"/>
                <w:sz w:val="24"/>
                <w:szCs w:val="24"/>
              </w:rPr>
              <w:t xml:space="preserve"> savings were substantial. After implementing the Lean Six Sigma checklist intervention, the hospital saw a 70% reduction in costs associated with insurance claim rejections. This was achieved by improving billing accuracy and staff competency, which led to fewer errors and less time spent on rework and appeals.</w:t>
            </w:r>
          </w:p>
          <w:p w14:paraId="11B89B3E"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Regarding claim denials, the study reported a significant improvement. Billing accuracy increased from 45% to 95%, and staff competency in handling claims rose from 50% to 93%. These improvements directly contributed to a sharp decline in claim rejection rates, demonstrating the effectiveness of the checklist in standardizing </w:t>
            </w:r>
            <w:r w:rsidRPr="00990078">
              <w:rPr>
                <w:rFonts w:ascii="Garamond" w:hAnsi="Garamond"/>
                <w:sz w:val="24"/>
                <w:szCs w:val="24"/>
              </w:rPr>
              <w:lastRenderedPageBreak/>
              <w:t>processes and reducing documentation errors.</w:t>
            </w:r>
          </w:p>
          <w:p w14:paraId="72284547" w14:textId="77777777" w:rsidR="00990078" w:rsidRPr="00990078" w:rsidRDefault="00990078" w:rsidP="00BE0EA1">
            <w:pPr>
              <w:rPr>
                <w:rFonts w:ascii="Garamond" w:hAnsi="Garamond"/>
                <w:sz w:val="24"/>
                <w:szCs w:val="24"/>
              </w:rPr>
            </w:pPr>
          </w:p>
        </w:tc>
        <w:tc>
          <w:tcPr>
            <w:tcW w:w="556" w:type="pct"/>
          </w:tcPr>
          <w:p w14:paraId="0DF6B7FF"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This quality improvement project was limited to a single hospital pharmacy department in Dubai, which restricts generalizability to other healthcare systems or departments. The intervention was conducted over a six-month period, so long-term sustainability of improvements was not assessed. Because the study </w:t>
            </w:r>
            <w:r w:rsidRPr="00990078">
              <w:rPr>
                <w:rFonts w:ascii="Garamond" w:hAnsi="Garamond"/>
                <w:sz w:val="24"/>
                <w:szCs w:val="24"/>
              </w:rPr>
              <w:lastRenderedPageBreak/>
              <w:t>used a pre/post design without a control group, it is difficult to fully rule out external factors that may have influenced rejection rates. Additionally, the focus on pharmacy claims means the findings may not translate directly to other types of clinical or hospital billing processes.</w:t>
            </w:r>
          </w:p>
          <w:p w14:paraId="4CFD6736" w14:textId="77777777" w:rsidR="00990078" w:rsidRPr="00990078" w:rsidRDefault="00990078" w:rsidP="00BE0EA1">
            <w:pPr>
              <w:rPr>
                <w:rFonts w:ascii="Garamond" w:hAnsi="Garamond"/>
                <w:sz w:val="24"/>
                <w:szCs w:val="24"/>
              </w:rPr>
            </w:pPr>
          </w:p>
        </w:tc>
      </w:tr>
      <w:tr w:rsidR="00990078" w:rsidRPr="00990078" w14:paraId="493DE87B" w14:textId="77777777" w:rsidTr="00990078">
        <w:tc>
          <w:tcPr>
            <w:tcW w:w="555" w:type="pct"/>
          </w:tcPr>
          <w:p w14:paraId="6DC5EE94"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Levine, R. L., Dixon, J., &amp; Smith, K. (2022). Implementing a billing compliance checklist to reduce claim denials in a U.S. hospital system. </w:t>
            </w:r>
            <w:r w:rsidRPr="00990078">
              <w:rPr>
                <w:rFonts w:ascii="Garamond" w:hAnsi="Garamond"/>
                <w:i/>
                <w:iCs/>
                <w:sz w:val="24"/>
                <w:szCs w:val="24"/>
              </w:rPr>
              <w:t>Journal of Healthcare Management, 67</w:t>
            </w:r>
            <w:r w:rsidRPr="00990078">
              <w:rPr>
                <w:rFonts w:ascii="Garamond" w:hAnsi="Garamond"/>
                <w:sz w:val="24"/>
                <w:szCs w:val="24"/>
              </w:rPr>
              <w:t>(5), 350–360. https://doi.org/10.1097/JHM-D-21-00245</w:t>
            </w:r>
          </w:p>
        </w:tc>
        <w:tc>
          <w:tcPr>
            <w:tcW w:w="556" w:type="pct"/>
          </w:tcPr>
          <w:p w14:paraId="5D5EA2D8"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The study focused on the billing and coding workforce of a large, multi-specialty U.S. hospital system. Participants included revenue cycle staff, coding specialists, and front-line billing clerks who were directly responsible for reviewing and submitting claims </w:t>
            </w:r>
            <w:r w:rsidRPr="00990078">
              <w:rPr>
                <w:rFonts w:ascii="Garamond" w:hAnsi="Garamond"/>
                <w:sz w:val="24"/>
                <w:szCs w:val="24"/>
              </w:rPr>
              <w:lastRenderedPageBreak/>
              <w:t xml:space="preserve">to both public payers (Medicare and Medicaid) and private commercial insurers. The claims reviewed during the study spanned inpatient, outpatient, and specialty services, covering thousands of encounters across surgical, medical, and emergency departments. The population also included the submitted claims themselves, which </w:t>
            </w:r>
            <w:r w:rsidRPr="00990078">
              <w:rPr>
                <w:rFonts w:ascii="Garamond" w:hAnsi="Garamond"/>
                <w:sz w:val="24"/>
                <w:szCs w:val="24"/>
              </w:rPr>
              <w:lastRenderedPageBreak/>
              <w:t>were analyzed to identify patterns in denials before and after the checklist intervention.</w:t>
            </w:r>
          </w:p>
          <w:p w14:paraId="129A14B5" w14:textId="77777777" w:rsidR="00990078" w:rsidRPr="00990078" w:rsidRDefault="00990078" w:rsidP="00BE0EA1">
            <w:pPr>
              <w:rPr>
                <w:rFonts w:ascii="Garamond" w:hAnsi="Garamond"/>
                <w:sz w:val="24"/>
                <w:szCs w:val="24"/>
              </w:rPr>
            </w:pPr>
          </w:p>
          <w:p w14:paraId="3C192E3C" w14:textId="77777777" w:rsidR="00990078" w:rsidRPr="00990078" w:rsidRDefault="00990078" w:rsidP="00BE0EA1">
            <w:pPr>
              <w:rPr>
                <w:rFonts w:ascii="Garamond" w:hAnsi="Garamond"/>
                <w:sz w:val="24"/>
                <w:szCs w:val="24"/>
              </w:rPr>
            </w:pPr>
          </w:p>
        </w:tc>
        <w:tc>
          <w:tcPr>
            <w:tcW w:w="556" w:type="pct"/>
          </w:tcPr>
          <w:p w14:paraId="2D0F7C67"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A quality improvement initiative using a pre/post design. The hospital implemented a structured billing compliance checklist that staff were required to complete prior to claim submission. Claim denial rates were tracked for 6 months before and 6 months after the </w:t>
            </w:r>
            <w:r w:rsidRPr="00990078">
              <w:rPr>
                <w:rFonts w:ascii="Garamond" w:hAnsi="Garamond"/>
                <w:sz w:val="24"/>
                <w:szCs w:val="24"/>
              </w:rPr>
              <w:lastRenderedPageBreak/>
              <w:t>checklist was introduced.</w:t>
            </w:r>
          </w:p>
          <w:p w14:paraId="462455A2" w14:textId="77777777" w:rsidR="00990078" w:rsidRPr="00990078" w:rsidRDefault="00990078" w:rsidP="00BE0EA1">
            <w:pPr>
              <w:rPr>
                <w:rFonts w:ascii="Garamond" w:hAnsi="Garamond"/>
                <w:sz w:val="24"/>
                <w:szCs w:val="24"/>
              </w:rPr>
            </w:pPr>
          </w:p>
        </w:tc>
        <w:tc>
          <w:tcPr>
            <w:tcW w:w="556" w:type="pct"/>
          </w:tcPr>
          <w:p w14:paraId="7AF5F600"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Independent Variable</w:t>
            </w:r>
            <w:r w:rsidRPr="00990078">
              <w:rPr>
                <w:rFonts w:ascii="Garamond" w:hAnsi="Garamond"/>
                <w:sz w:val="24"/>
                <w:szCs w:val="24"/>
              </w:rPr>
              <w:br/>
              <w:t xml:space="preserve">Implementation of a structured billing compliance checklist. The checklist required billing and coding staff to verify key elements (e.g., documentation completeness, coding accuracy, payer authorization, and eligibility confirmation) before claims </w:t>
            </w:r>
            <w:r w:rsidRPr="00990078">
              <w:rPr>
                <w:rFonts w:ascii="Garamond" w:hAnsi="Garamond"/>
                <w:sz w:val="24"/>
                <w:szCs w:val="24"/>
              </w:rPr>
              <w:lastRenderedPageBreak/>
              <w:t>were submitted.</w:t>
            </w:r>
          </w:p>
          <w:p w14:paraId="48EB4926" w14:textId="77777777" w:rsidR="00990078" w:rsidRPr="00990078" w:rsidRDefault="00990078" w:rsidP="00BE0EA1">
            <w:pPr>
              <w:rPr>
                <w:rFonts w:ascii="Garamond" w:hAnsi="Garamond"/>
                <w:sz w:val="24"/>
                <w:szCs w:val="24"/>
              </w:rPr>
            </w:pPr>
            <w:r w:rsidRPr="00990078">
              <w:rPr>
                <w:rFonts w:ascii="Garamond" w:hAnsi="Garamond"/>
                <w:sz w:val="24"/>
                <w:szCs w:val="24"/>
              </w:rPr>
              <w:t>Dependent Variable</w:t>
            </w:r>
            <w:r w:rsidRPr="00990078">
              <w:rPr>
                <w:rFonts w:ascii="Garamond" w:hAnsi="Garamond"/>
                <w:sz w:val="24"/>
                <w:szCs w:val="24"/>
              </w:rPr>
              <w:br/>
              <w:t>Insurance claim denial rate. This was measured as the percentage of claims denied by payers, along with tracking subcategories of denials such as coding errors, missing documentation, and authorization failures.</w:t>
            </w:r>
          </w:p>
          <w:p w14:paraId="0562070F" w14:textId="77777777" w:rsidR="00990078" w:rsidRPr="00990078" w:rsidRDefault="00990078" w:rsidP="00BE0EA1">
            <w:pPr>
              <w:rPr>
                <w:rFonts w:ascii="Garamond" w:hAnsi="Garamond"/>
                <w:b/>
                <w:bCs/>
                <w:sz w:val="24"/>
                <w:szCs w:val="24"/>
              </w:rPr>
            </w:pPr>
          </w:p>
        </w:tc>
        <w:tc>
          <w:tcPr>
            <w:tcW w:w="556" w:type="pct"/>
          </w:tcPr>
          <w:p w14:paraId="1CB56C2B"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central theme is the use of standardized checklists as a quality improvement strategy in healthcare revenue cycle management. The article emphasizes that introducing a billing compliance checklist reduces preventable claim denials, improves workflo</w:t>
            </w:r>
            <w:r w:rsidRPr="00990078">
              <w:rPr>
                <w:rFonts w:ascii="Garamond" w:hAnsi="Garamond"/>
                <w:sz w:val="24"/>
                <w:szCs w:val="24"/>
              </w:rPr>
              <w:lastRenderedPageBreak/>
              <w:t>w consistency, and enhances financial performance across hospital departments.</w:t>
            </w:r>
          </w:p>
        </w:tc>
        <w:tc>
          <w:tcPr>
            <w:tcW w:w="556" w:type="pct"/>
          </w:tcPr>
          <w:p w14:paraId="77037D6B"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After implementing the billing compliance checklist, the overall claim denial rate decreased from 14% to 8% within six months.</w:t>
            </w:r>
          </w:p>
          <w:p w14:paraId="5BEF5CDE" w14:textId="77777777" w:rsidR="00990078" w:rsidRPr="00990078" w:rsidRDefault="00990078" w:rsidP="00BE0EA1">
            <w:pPr>
              <w:rPr>
                <w:rFonts w:ascii="Garamond" w:hAnsi="Garamond"/>
                <w:sz w:val="24"/>
                <w:szCs w:val="24"/>
              </w:rPr>
            </w:pPr>
          </w:p>
          <w:p w14:paraId="08CA992D"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The largest reductions occurred in denials related to missing documentation and coding errors, which dropped </w:t>
            </w:r>
            <w:r w:rsidRPr="00990078">
              <w:rPr>
                <w:rFonts w:ascii="Garamond" w:hAnsi="Garamond"/>
                <w:sz w:val="24"/>
                <w:szCs w:val="24"/>
              </w:rPr>
              <w:lastRenderedPageBreak/>
              <w:t>by nearly half.</w:t>
            </w:r>
          </w:p>
          <w:p w14:paraId="5F6315BC" w14:textId="77777777" w:rsidR="00990078" w:rsidRPr="00990078" w:rsidRDefault="00990078" w:rsidP="00BE0EA1">
            <w:pPr>
              <w:rPr>
                <w:rFonts w:ascii="Garamond" w:hAnsi="Garamond"/>
                <w:sz w:val="24"/>
                <w:szCs w:val="24"/>
              </w:rPr>
            </w:pPr>
          </w:p>
          <w:p w14:paraId="7745A496" w14:textId="77777777" w:rsidR="00990078" w:rsidRPr="00990078" w:rsidRDefault="00990078" w:rsidP="00BE0EA1">
            <w:pPr>
              <w:rPr>
                <w:rFonts w:ascii="Garamond" w:hAnsi="Garamond"/>
                <w:sz w:val="24"/>
                <w:szCs w:val="24"/>
              </w:rPr>
            </w:pPr>
            <w:r w:rsidRPr="00990078">
              <w:rPr>
                <w:rFonts w:ascii="Garamond" w:hAnsi="Garamond"/>
                <w:sz w:val="24"/>
                <w:szCs w:val="24"/>
              </w:rPr>
              <w:t>Staff reported that the checklist improved accountability and reduced ambiguity in claim preparation, leading to more efficient workflows.</w:t>
            </w:r>
          </w:p>
          <w:p w14:paraId="45C7FFC9" w14:textId="77777777" w:rsidR="00990078" w:rsidRPr="00990078" w:rsidRDefault="00990078" w:rsidP="00BE0EA1">
            <w:pPr>
              <w:rPr>
                <w:rFonts w:ascii="Garamond" w:hAnsi="Garamond"/>
                <w:sz w:val="24"/>
                <w:szCs w:val="24"/>
              </w:rPr>
            </w:pPr>
          </w:p>
          <w:p w14:paraId="24AC8E13" w14:textId="77777777" w:rsidR="00990078" w:rsidRPr="00990078" w:rsidRDefault="00990078" w:rsidP="00BE0EA1">
            <w:pPr>
              <w:rPr>
                <w:rFonts w:ascii="Garamond" w:hAnsi="Garamond"/>
                <w:sz w:val="24"/>
                <w:szCs w:val="24"/>
              </w:rPr>
            </w:pPr>
            <w:r w:rsidRPr="00990078">
              <w:rPr>
                <w:rFonts w:ascii="Garamond" w:hAnsi="Garamond"/>
                <w:sz w:val="24"/>
                <w:szCs w:val="24"/>
              </w:rPr>
              <w:t>Leadership noted that the reduction in rework and appeals freed up staff time for proactive denial prevention rather than reactive corrections.</w:t>
            </w:r>
          </w:p>
          <w:p w14:paraId="0AD33065" w14:textId="77777777" w:rsidR="00990078" w:rsidRPr="00990078" w:rsidRDefault="00990078" w:rsidP="00BE0EA1">
            <w:pPr>
              <w:rPr>
                <w:rFonts w:ascii="Garamond" w:hAnsi="Garamond"/>
                <w:sz w:val="24"/>
                <w:szCs w:val="24"/>
              </w:rPr>
            </w:pPr>
          </w:p>
        </w:tc>
        <w:tc>
          <w:tcPr>
            <w:tcW w:w="556" w:type="pct"/>
          </w:tcPr>
          <w:p w14:paraId="62F43CB9"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 Consistent with other checklist-based interventions in healthcare, the study demonstrated that structured tools reduce variability, enhance accuracy, and improve outcomes.</w:t>
            </w:r>
          </w:p>
          <w:p w14:paraId="4ECA8196" w14:textId="77777777" w:rsidR="00990078" w:rsidRPr="00990078" w:rsidRDefault="00990078" w:rsidP="00BE0EA1">
            <w:pPr>
              <w:rPr>
                <w:rFonts w:ascii="Garamond" w:hAnsi="Garamond"/>
                <w:sz w:val="24"/>
                <w:szCs w:val="24"/>
              </w:rPr>
            </w:pPr>
          </w:p>
          <w:p w14:paraId="49DA4569"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Similar to research on surgical and safety checklists, success was tied not only </w:t>
            </w:r>
            <w:r w:rsidRPr="00990078">
              <w:rPr>
                <w:rFonts w:ascii="Garamond" w:hAnsi="Garamond"/>
                <w:sz w:val="24"/>
                <w:szCs w:val="24"/>
              </w:rPr>
              <w:lastRenderedPageBreak/>
              <w:t>to the tool itself but also to staff engagement, leadership support, and integration into daily practice.</w:t>
            </w:r>
          </w:p>
          <w:p w14:paraId="55A5B8E4" w14:textId="77777777" w:rsidR="00990078" w:rsidRPr="00990078" w:rsidRDefault="00990078" w:rsidP="00BE0EA1">
            <w:pPr>
              <w:rPr>
                <w:rFonts w:ascii="Garamond" w:hAnsi="Garamond"/>
                <w:sz w:val="24"/>
                <w:szCs w:val="24"/>
              </w:rPr>
            </w:pPr>
          </w:p>
          <w:p w14:paraId="51B2E44F"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The findings align with broader literature on denial prevention, showing that standardized processes (e.g., checklists, protocols, and documentation reviews) are key to reducing preventable claim denials and </w:t>
            </w:r>
            <w:r w:rsidRPr="00990078">
              <w:rPr>
                <w:rFonts w:ascii="Garamond" w:hAnsi="Garamond"/>
                <w:sz w:val="24"/>
                <w:szCs w:val="24"/>
              </w:rPr>
              <w:lastRenderedPageBreak/>
              <w:t>strengthening revenue cycle efficiency.</w:t>
            </w:r>
          </w:p>
          <w:p w14:paraId="56ED909A" w14:textId="77777777" w:rsidR="00990078" w:rsidRPr="00990078" w:rsidRDefault="00990078" w:rsidP="00BE0EA1">
            <w:pPr>
              <w:rPr>
                <w:rFonts w:ascii="Garamond" w:hAnsi="Garamond"/>
                <w:sz w:val="24"/>
                <w:szCs w:val="24"/>
              </w:rPr>
            </w:pPr>
          </w:p>
        </w:tc>
        <w:tc>
          <w:tcPr>
            <w:tcW w:w="556" w:type="pct"/>
          </w:tcPr>
          <w:p w14:paraId="72D13EFB"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economic impact of the checklist was substantial. By lowering the denial rate from 14 percent to 8 percent, the hospital system projected annual savings of approximately 1.2 million dollars. These savings were attributed to fewer administrative hours spent on </w:t>
            </w:r>
            <w:r w:rsidRPr="00990078">
              <w:rPr>
                <w:rFonts w:ascii="Garamond" w:hAnsi="Garamond"/>
                <w:sz w:val="24"/>
                <w:szCs w:val="24"/>
              </w:rPr>
              <w:lastRenderedPageBreak/>
              <w:t>rework, reduced appeal submissions, and less lost revenue from denied claims that previously went uncorrected. In addition, the hospital saw improved cash flow due to faster reimbursement and reduced payment delays. The authors emphasized that the cost of implementing the checklist, primarily staff training and workflow adjustm</w:t>
            </w:r>
            <w:r w:rsidRPr="00990078">
              <w:rPr>
                <w:rFonts w:ascii="Garamond" w:hAnsi="Garamond"/>
                <w:sz w:val="24"/>
                <w:szCs w:val="24"/>
              </w:rPr>
              <w:lastRenderedPageBreak/>
              <w:t>ents, was minimal compared to the financial benefits achieved. This reinforced the value of using structured denial prevention tools not only as a compliance measure but also as a strategy to strengthen organizational sustainability and revenue cycle performance.</w:t>
            </w:r>
          </w:p>
          <w:p w14:paraId="606A179F" w14:textId="77777777" w:rsidR="00990078" w:rsidRPr="00990078" w:rsidRDefault="00990078" w:rsidP="00BE0EA1">
            <w:pPr>
              <w:rPr>
                <w:rFonts w:ascii="Garamond" w:hAnsi="Garamond"/>
                <w:sz w:val="24"/>
                <w:szCs w:val="24"/>
              </w:rPr>
            </w:pPr>
          </w:p>
        </w:tc>
        <w:tc>
          <w:tcPr>
            <w:tcW w:w="556" w:type="pct"/>
          </w:tcPr>
          <w:p w14:paraId="61191317"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study used a pre/post quality improvement design without a control group, which makes it difficult to attribute reductions in claim denials solely to the checklist intervention. Because it was conducted within a single hospital system, the findings may not generali</w:t>
            </w:r>
            <w:r w:rsidRPr="00990078">
              <w:rPr>
                <w:rFonts w:ascii="Garamond" w:hAnsi="Garamond"/>
                <w:sz w:val="24"/>
                <w:szCs w:val="24"/>
              </w:rPr>
              <w:lastRenderedPageBreak/>
              <w:t xml:space="preserve">ze to smaller practices or healthcare organizations with different billing infrastructures. The evaluation period covered only 12 months, so the long-term sustainability of reduced denial rates was not assessed. In addition, the study focused primarily on quantitative denial outcomes and did not explore potential unintended </w:t>
            </w:r>
            <w:r w:rsidRPr="00990078">
              <w:rPr>
                <w:rFonts w:ascii="Garamond" w:hAnsi="Garamond"/>
                <w:sz w:val="24"/>
                <w:szCs w:val="24"/>
              </w:rPr>
              <w:lastRenderedPageBreak/>
              <w:t>effects, such as staff workload burden or variations in payer-specific policies.</w:t>
            </w:r>
          </w:p>
          <w:p w14:paraId="19FE3B84" w14:textId="77777777" w:rsidR="00990078" w:rsidRPr="00990078" w:rsidRDefault="00990078" w:rsidP="00BE0EA1">
            <w:pPr>
              <w:rPr>
                <w:rFonts w:ascii="Garamond" w:hAnsi="Garamond"/>
                <w:sz w:val="24"/>
                <w:szCs w:val="24"/>
              </w:rPr>
            </w:pPr>
          </w:p>
        </w:tc>
      </w:tr>
      <w:tr w:rsidR="00990078" w:rsidRPr="00990078" w14:paraId="68701215" w14:textId="77777777" w:rsidTr="00990078">
        <w:tc>
          <w:tcPr>
            <w:tcW w:w="5000" w:type="pct"/>
            <w:gridSpan w:val="9"/>
            <w:shd w:val="clear" w:color="auto" w:fill="E8E8E8" w:themeFill="background2"/>
          </w:tcPr>
          <w:p w14:paraId="670C92FE" w14:textId="77777777" w:rsidR="00990078" w:rsidRPr="00990078" w:rsidRDefault="00990078" w:rsidP="00BE0EA1">
            <w:pPr>
              <w:rPr>
                <w:rFonts w:ascii="Garamond" w:hAnsi="Garamond"/>
                <w:b/>
                <w:bCs/>
                <w:sz w:val="24"/>
                <w:szCs w:val="24"/>
              </w:rPr>
            </w:pPr>
            <w:r w:rsidRPr="00990078">
              <w:rPr>
                <w:rFonts w:ascii="Garamond" w:hAnsi="Garamond"/>
                <w:b/>
                <w:bCs/>
                <w:sz w:val="24"/>
                <w:szCs w:val="24"/>
              </w:rPr>
              <w:lastRenderedPageBreak/>
              <w:t xml:space="preserve">Documentation and Access Equity: </w:t>
            </w:r>
            <w:r w:rsidRPr="00990078">
              <w:rPr>
                <w:rFonts w:ascii="Garamond" w:hAnsi="Garamond"/>
                <w:sz w:val="24"/>
                <w:szCs w:val="24"/>
              </w:rPr>
              <w:t>Documentation quality and systemic inequities both impact denials. Checklists and standardized processes help improve fairness, accuracy, and compliance.</w:t>
            </w:r>
          </w:p>
        </w:tc>
      </w:tr>
      <w:tr w:rsidR="00990078" w:rsidRPr="00990078" w14:paraId="43540FB1" w14:textId="77777777" w:rsidTr="00990078">
        <w:tc>
          <w:tcPr>
            <w:tcW w:w="555" w:type="pct"/>
          </w:tcPr>
          <w:p w14:paraId="2E729A7A"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Luna, O., Rapp, J. T., &amp; Pennington, C. </w:t>
            </w:r>
            <w:r w:rsidRPr="00990078">
              <w:rPr>
                <w:rFonts w:ascii="Garamond" w:hAnsi="Garamond"/>
                <w:sz w:val="24"/>
                <w:szCs w:val="24"/>
              </w:rPr>
              <w:lastRenderedPageBreak/>
              <w:t xml:space="preserve">(2018). Using a checklist to increase objective session note writing. </w:t>
            </w:r>
            <w:r w:rsidRPr="00990078">
              <w:rPr>
                <w:rFonts w:ascii="Garamond" w:hAnsi="Garamond"/>
                <w:i/>
                <w:iCs/>
                <w:sz w:val="24"/>
                <w:szCs w:val="24"/>
              </w:rPr>
              <w:t>Behavior Analysis in Practice, 11</w:t>
            </w:r>
            <w:r w:rsidRPr="00990078">
              <w:rPr>
                <w:rFonts w:ascii="Garamond" w:hAnsi="Garamond"/>
                <w:sz w:val="24"/>
                <w:szCs w:val="24"/>
              </w:rPr>
              <w:t>(3), 213–217. https://doi.org/10.1007/s40617-018-0223-7</w:t>
            </w:r>
          </w:p>
          <w:p w14:paraId="7D9D14E8" w14:textId="77777777" w:rsidR="00990078" w:rsidRPr="00990078" w:rsidRDefault="00990078" w:rsidP="00BE0EA1">
            <w:pPr>
              <w:rPr>
                <w:rFonts w:ascii="Garamond" w:hAnsi="Garamond"/>
                <w:sz w:val="24"/>
                <w:szCs w:val="24"/>
              </w:rPr>
            </w:pPr>
          </w:p>
        </w:tc>
        <w:tc>
          <w:tcPr>
            <w:tcW w:w="556" w:type="pct"/>
          </w:tcPr>
          <w:p w14:paraId="0E37F947"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study included 17 participants: two </w:t>
            </w:r>
            <w:r w:rsidRPr="00990078">
              <w:rPr>
                <w:rFonts w:ascii="Garamond" w:hAnsi="Garamond"/>
                <w:sz w:val="24"/>
                <w:szCs w:val="24"/>
              </w:rPr>
              <w:lastRenderedPageBreak/>
              <w:t xml:space="preserve">special education teachers and fifteen paraprofessionals. All participants worked in educational settings serving students with </w:t>
            </w:r>
            <w:proofErr w:type="gramStart"/>
            <w:r w:rsidRPr="00990078">
              <w:rPr>
                <w:rFonts w:ascii="Garamond" w:hAnsi="Garamond"/>
                <w:sz w:val="24"/>
                <w:szCs w:val="24"/>
              </w:rPr>
              <w:t>Autism Spectrum Disorder</w:t>
            </w:r>
            <w:proofErr w:type="gramEnd"/>
            <w:r w:rsidRPr="00990078">
              <w:rPr>
                <w:rFonts w:ascii="Garamond" w:hAnsi="Garamond"/>
                <w:sz w:val="24"/>
                <w:szCs w:val="24"/>
              </w:rPr>
              <w:t>. The participants were responsible for writing daily session notes to document instructional and behavioral interventions.</w:t>
            </w:r>
          </w:p>
        </w:tc>
        <w:tc>
          <w:tcPr>
            <w:tcW w:w="556" w:type="pct"/>
          </w:tcPr>
          <w:p w14:paraId="1462C8FA"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researchers used a pre/post design. </w:t>
            </w:r>
            <w:r w:rsidRPr="00990078">
              <w:rPr>
                <w:rFonts w:ascii="Garamond" w:hAnsi="Garamond"/>
                <w:sz w:val="24"/>
                <w:szCs w:val="24"/>
              </w:rPr>
              <w:lastRenderedPageBreak/>
              <w:t xml:space="preserve">Participants first completed simulated teaching sessions and were asked to write session notes without support. Their notes were evaluated for objectivity and completeness. Then, a checklist intervention was introduced, which outlined specific elements required for objective note writing (e.g., describing prompts, reinforcers, and </w:t>
            </w:r>
            <w:r w:rsidRPr="00990078">
              <w:rPr>
                <w:rFonts w:ascii="Garamond" w:hAnsi="Garamond"/>
                <w:sz w:val="24"/>
                <w:szCs w:val="24"/>
              </w:rPr>
              <w:lastRenderedPageBreak/>
              <w:t>behaviors in measurable terms). Training was provided on how to use the checklist. Participants then repeated the simulated sessions and wrote notes again, this time using the checklist. Performance was compared before and after the intervention to determine the checklist’s impact.</w:t>
            </w:r>
          </w:p>
          <w:p w14:paraId="2CC4CA6E" w14:textId="77777777" w:rsidR="00990078" w:rsidRPr="00990078" w:rsidRDefault="00990078" w:rsidP="00BE0EA1">
            <w:pPr>
              <w:rPr>
                <w:rFonts w:ascii="Garamond" w:hAnsi="Garamond"/>
                <w:sz w:val="24"/>
                <w:szCs w:val="24"/>
              </w:rPr>
            </w:pPr>
          </w:p>
          <w:p w14:paraId="1496ACDD" w14:textId="77777777" w:rsidR="00990078" w:rsidRPr="00990078" w:rsidRDefault="00990078" w:rsidP="00BE0EA1">
            <w:pPr>
              <w:rPr>
                <w:rFonts w:ascii="Garamond" w:hAnsi="Garamond"/>
                <w:sz w:val="24"/>
                <w:szCs w:val="24"/>
              </w:rPr>
            </w:pPr>
          </w:p>
        </w:tc>
        <w:tc>
          <w:tcPr>
            <w:tcW w:w="556" w:type="pct"/>
          </w:tcPr>
          <w:p w14:paraId="73725806"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independent variable was the introduc</w:t>
            </w:r>
            <w:r w:rsidRPr="00990078">
              <w:rPr>
                <w:rFonts w:ascii="Garamond" w:hAnsi="Garamond"/>
                <w:sz w:val="24"/>
                <w:szCs w:val="24"/>
              </w:rPr>
              <w:lastRenderedPageBreak/>
              <w:t>tion of a session note-writing checklist (paired with brief training on its use). This intervention provided staff with structured guidance on what elements to include in their notes.</w:t>
            </w:r>
          </w:p>
          <w:p w14:paraId="04A7D1CC"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The dependent variable was the accuracy and objectivity of session notes, measured by the percentage of required elements included and whether the </w:t>
            </w:r>
            <w:r w:rsidRPr="00990078">
              <w:rPr>
                <w:rFonts w:ascii="Garamond" w:hAnsi="Garamond"/>
                <w:sz w:val="24"/>
                <w:szCs w:val="24"/>
              </w:rPr>
              <w:lastRenderedPageBreak/>
              <w:t>language used was objective rather than subjective.</w:t>
            </w:r>
          </w:p>
          <w:p w14:paraId="35283D13" w14:textId="77777777" w:rsidR="00990078" w:rsidRPr="00990078" w:rsidRDefault="00990078" w:rsidP="00BE0EA1">
            <w:pPr>
              <w:rPr>
                <w:rFonts w:ascii="Garamond" w:hAnsi="Garamond"/>
                <w:sz w:val="24"/>
                <w:szCs w:val="24"/>
              </w:rPr>
            </w:pPr>
          </w:p>
        </w:tc>
        <w:tc>
          <w:tcPr>
            <w:tcW w:w="556" w:type="pct"/>
          </w:tcPr>
          <w:p w14:paraId="63BBE40E"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article focuses on using checklists to </w:t>
            </w:r>
            <w:r w:rsidRPr="00990078">
              <w:rPr>
                <w:rFonts w:ascii="Garamond" w:hAnsi="Garamond"/>
                <w:sz w:val="24"/>
                <w:szCs w:val="24"/>
              </w:rPr>
              <w:lastRenderedPageBreak/>
              <w:t xml:space="preserve">improve the quality and objectivity of clinical documentation in Applied Behavior Analysis (ABA) and special education settings. The theme highlights </w:t>
            </w:r>
            <w:proofErr w:type="gramStart"/>
            <w:r w:rsidRPr="00990078">
              <w:rPr>
                <w:rFonts w:ascii="Garamond" w:hAnsi="Garamond"/>
                <w:sz w:val="24"/>
                <w:szCs w:val="24"/>
              </w:rPr>
              <w:t>that structured tools</w:t>
            </w:r>
            <w:proofErr w:type="gramEnd"/>
            <w:r w:rsidRPr="00990078">
              <w:rPr>
                <w:rFonts w:ascii="Garamond" w:hAnsi="Garamond"/>
                <w:sz w:val="24"/>
                <w:szCs w:val="24"/>
              </w:rPr>
              <w:t>, like checklists, can increase staff performance on required documentation tasks that are essential for accountability, compliance, and continuity of care.</w:t>
            </w:r>
          </w:p>
          <w:p w14:paraId="3A28EB57" w14:textId="77777777" w:rsidR="00990078" w:rsidRPr="00990078" w:rsidRDefault="00990078" w:rsidP="00BE0EA1">
            <w:pPr>
              <w:rPr>
                <w:rFonts w:ascii="Garamond" w:hAnsi="Garamond"/>
                <w:sz w:val="24"/>
                <w:szCs w:val="24"/>
              </w:rPr>
            </w:pPr>
          </w:p>
        </w:tc>
        <w:tc>
          <w:tcPr>
            <w:tcW w:w="556" w:type="pct"/>
          </w:tcPr>
          <w:p w14:paraId="4ED944EB"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study found that when staff </w:t>
            </w:r>
            <w:r w:rsidRPr="00990078">
              <w:rPr>
                <w:rFonts w:ascii="Garamond" w:hAnsi="Garamond"/>
                <w:sz w:val="24"/>
                <w:szCs w:val="24"/>
              </w:rPr>
              <w:lastRenderedPageBreak/>
              <w:t xml:space="preserve">used the checklist, the objectivity and completeness of session notes significantly improved compared to baseline. Notes included more required elements, such as accurate descriptions of prompts, reinforcers, and client behaviors, and contained fewer subjective or vague statements. The authors concluded that checklists are an efficient, low-cost way to </w:t>
            </w:r>
            <w:r w:rsidRPr="00990078">
              <w:rPr>
                <w:rFonts w:ascii="Garamond" w:hAnsi="Garamond"/>
                <w:sz w:val="24"/>
                <w:szCs w:val="24"/>
              </w:rPr>
              <w:lastRenderedPageBreak/>
              <w:t>strengthen staff documentation skills.</w:t>
            </w:r>
          </w:p>
          <w:p w14:paraId="0035BCD3" w14:textId="77777777" w:rsidR="00990078" w:rsidRPr="00990078" w:rsidRDefault="00990078" w:rsidP="00BE0EA1">
            <w:pPr>
              <w:rPr>
                <w:rFonts w:ascii="Garamond" w:hAnsi="Garamond"/>
                <w:sz w:val="24"/>
                <w:szCs w:val="24"/>
              </w:rPr>
            </w:pPr>
          </w:p>
        </w:tc>
        <w:tc>
          <w:tcPr>
            <w:tcW w:w="556" w:type="pct"/>
          </w:tcPr>
          <w:p w14:paraId="289988C6"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When compared with other healthcare </w:t>
            </w:r>
            <w:r w:rsidRPr="00990078">
              <w:rPr>
                <w:rFonts w:ascii="Garamond" w:hAnsi="Garamond"/>
                <w:sz w:val="24"/>
                <w:szCs w:val="24"/>
              </w:rPr>
              <w:lastRenderedPageBreak/>
              <w:t xml:space="preserve">checklist research (e.g., Treadwell et al., 2014; Semel et al., 2010), this article shares the conclusion that checklists consistently reduce errors and improve accuracy. The shared theme is that structured tools not only improve clinical outcomes (in surgical settings) but also enhance documentation quality (in ABA and education), which </w:t>
            </w:r>
            <w:r w:rsidRPr="00990078">
              <w:rPr>
                <w:rFonts w:ascii="Garamond" w:hAnsi="Garamond"/>
                <w:sz w:val="24"/>
                <w:szCs w:val="24"/>
              </w:rPr>
              <w:lastRenderedPageBreak/>
              <w:t>supports compliance and reduces risks associated with incomplete or inaccurate records.</w:t>
            </w:r>
          </w:p>
          <w:p w14:paraId="2520EE85" w14:textId="77777777" w:rsidR="00990078" w:rsidRPr="00990078" w:rsidRDefault="00990078" w:rsidP="00BE0EA1">
            <w:pPr>
              <w:rPr>
                <w:rFonts w:ascii="Garamond" w:hAnsi="Garamond"/>
                <w:sz w:val="24"/>
                <w:szCs w:val="24"/>
              </w:rPr>
            </w:pPr>
          </w:p>
        </w:tc>
        <w:tc>
          <w:tcPr>
            <w:tcW w:w="556" w:type="pct"/>
          </w:tcPr>
          <w:p w14:paraId="7B6B3D54"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study did not conduct a formal cost-</w:t>
            </w:r>
            <w:r w:rsidRPr="00990078">
              <w:rPr>
                <w:rFonts w:ascii="Garamond" w:hAnsi="Garamond"/>
                <w:sz w:val="24"/>
                <w:szCs w:val="24"/>
              </w:rPr>
              <w:lastRenderedPageBreak/>
              <w:t xml:space="preserve">effectiveness evaluation. However, it emphasized that the checklist intervention was low-cost and efficient, requiring minimal training and materials to implement. By improving the completeness and accuracy of session notes, organizations could indirectly avoid the hidden costs of poor documentation, such as increased time </w:t>
            </w:r>
            <w:r w:rsidRPr="00990078">
              <w:rPr>
                <w:rFonts w:ascii="Garamond" w:hAnsi="Garamond"/>
                <w:sz w:val="24"/>
                <w:szCs w:val="24"/>
              </w:rPr>
              <w:lastRenderedPageBreak/>
              <w:t>spent on corrections, staff retraining, or compliance issues.</w:t>
            </w:r>
          </w:p>
          <w:p w14:paraId="5C1CB7A0"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Although claim denials were not directly measured, the findings are highly relevant. In Medicaid-funded ABA services, incomplete or subjective session notes are a leading cause of claim denials and lost reimbursement. By showing that a checklist improves documentation </w:t>
            </w:r>
            <w:r w:rsidRPr="00990078">
              <w:rPr>
                <w:rFonts w:ascii="Garamond" w:hAnsi="Garamond"/>
                <w:sz w:val="24"/>
                <w:szCs w:val="24"/>
              </w:rPr>
              <w:lastRenderedPageBreak/>
              <w:t>accuracy and objectivity, the study supports the idea that such tools can help reduce denials, streamline billing processes, and protect revenue.</w:t>
            </w:r>
          </w:p>
          <w:p w14:paraId="54BD558F" w14:textId="77777777" w:rsidR="00990078" w:rsidRPr="00990078" w:rsidRDefault="00990078" w:rsidP="00BE0EA1">
            <w:pPr>
              <w:rPr>
                <w:rFonts w:ascii="Garamond" w:hAnsi="Garamond"/>
                <w:sz w:val="24"/>
                <w:szCs w:val="24"/>
              </w:rPr>
            </w:pPr>
          </w:p>
          <w:p w14:paraId="7E882005" w14:textId="77777777" w:rsidR="00990078" w:rsidRPr="00990078" w:rsidRDefault="00990078" w:rsidP="00BE0EA1">
            <w:pPr>
              <w:rPr>
                <w:rFonts w:ascii="Garamond" w:hAnsi="Garamond"/>
                <w:sz w:val="24"/>
                <w:szCs w:val="24"/>
              </w:rPr>
            </w:pPr>
          </w:p>
        </w:tc>
        <w:tc>
          <w:tcPr>
            <w:tcW w:w="556" w:type="pct"/>
          </w:tcPr>
          <w:p w14:paraId="47414E30"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study was conducted with a small </w:t>
            </w:r>
            <w:r w:rsidRPr="00990078">
              <w:rPr>
                <w:rFonts w:ascii="Garamond" w:hAnsi="Garamond"/>
                <w:sz w:val="24"/>
                <w:szCs w:val="24"/>
              </w:rPr>
              <w:lastRenderedPageBreak/>
              <w:t xml:space="preserve">sample size of only 17 participants, which limits the generalizability of findings to larger or more diverse provider groups. The simulated teaching sessions may not fully reflect the complexity of real-world clinical environments, where competing demands and time pressures could affect checklist use. In addition, the study </w:t>
            </w:r>
            <w:r w:rsidRPr="00990078">
              <w:rPr>
                <w:rFonts w:ascii="Garamond" w:hAnsi="Garamond"/>
                <w:sz w:val="24"/>
                <w:szCs w:val="24"/>
              </w:rPr>
              <w:lastRenderedPageBreak/>
              <w:t>measured short-term changes in note-writing accuracy and objectivity, but it did not examine whether improvements were sustained over time or whether they directly reduced claim denials in applied practice.</w:t>
            </w:r>
          </w:p>
          <w:p w14:paraId="2F615058" w14:textId="77777777" w:rsidR="00990078" w:rsidRPr="00990078" w:rsidRDefault="00990078" w:rsidP="00BE0EA1">
            <w:pPr>
              <w:rPr>
                <w:rFonts w:ascii="Garamond" w:hAnsi="Garamond"/>
                <w:sz w:val="24"/>
                <w:szCs w:val="24"/>
              </w:rPr>
            </w:pPr>
          </w:p>
        </w:tc>
      </w:tr>
      <w:tr w:rsidR="00990078" w:rsidRPr="00990078" w14:paraId="54B45D5D" w14:textId="77777777" w:rsidTr="00990078">
        <w:tc>
          <w:tcPr>
            <w:tcW w:w="555" w:type="pct"/>
          </w:tcPr>
          <w:p w14:paraId="0AEADD55"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Hoagland, A., Roy, A., Wang, J., </w:t>
            </w:r>
            <w:proofErr w:type="spellStart"/>
            <w:r w:rsidRPr="00990078">
              <w:rPr>
                <w:rFonts w:ascii="Garamond" w:hAnsi="Garamond"/>
                <w:sz w:val="24"/>
                <w:szCs w:val="24"/>
              </w:rPr>
              <w:t>Jagsi</w:t>
            </w:r>
            <w:proofErr w:type="spellEnd"/>
            <w:r w:rsidRPr="00990078">
              <w:rPr>
                <w:rFonts w:ascii="Garamond" w:hAnsi="Garamond"/>
                <w:sz w:val="24"/>
                <w:szCs w:val="24"/>
              </w:rPr>
              <w:t xml:space="preserve">, R., &amp; Kirchhoff, A. C. (2024). Social determinants of health and insurance claim denials for preventive care. </w:t>
            </w:r>
            <w:r w:rsidRPr="00990078">
              <w:rPr>
                <w:rFonts w:ascii="Garamond" w:hAnsi="Garamond"/>
                <w:i/>
                <w:iCs/>
                <w:sz w:val="24"/>
                <w:szCs w:val="24"/>
              </w:rPr>
              <w:t>JAMA Network Open, 7</w:t>
            </w:r>
            <w:r w:rsidRPr="00990078">
              <w:rPr>
                <w:rFonts w:ascii="Garamond" w:hAnsi="Garamond"/>
                <w:sz w:val="24"/>
                <w:szCs w:val="24"/>
              </w:rPr>
              <w:t>(7), e232113</w:t>
            </w:r>
            <w:r w:rsidRPr="00990078">
              <w:rPr>
                <w:rFonts w:ascii="Garamond" w:hAnsi="Garamond"/>
                <w:sz w:val="24"/>
                <w:szCs w:val="24"/>
              </w:rPr>
              <w:lastRenderedPageBreak/>
              <w:t>5. https://doi.org/10.1001/jamanetworkopen.2023.21135</w:t>
            </w:r>
          </w:p>
        </w:tc>
        <w:tc>
          <w:tcPr>
            <w:tcW w:w="556" w:type="pct"/>
          </w:tcPr>
          <w:p w14:paraId="6F39CC29"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study analyzed a large cohort of U.S. patients with private health insurance who submitted claims for preventive healthcare services. The population included adults </w:t>
            </w:r>
            <w:r w:rsidRPr="00990078">
              <w:rPr>
                <w:rFonts w:ascii="Garamond" w:hAnsi="Garamond"/>
                <w:sz w:val="24"/>
                <w:szCs w:val="24"/>
              </w:rPr>
              <w:lastRenderedPageBreak/>
              <w:t>eligible for preventive screenings and care as defined under the Affordable Care Act. The claims data came from a national insurance database and represented diverse demographic groups.</w:t>
            </w:r>
          </w:p>
          <w:p w14:paraId="175A2946" w14:textId="77777777" w:rsidR="00990078" w:rsidRPr="00990078" w:rsidRDefault="00990078" w:rsidP="00BE0EA1">
            <w:pPr>
              <w:rPr>
                <w:rFonts w:ascii="Garamond" w:hAnsi="Garamond"/>
                <w:sz w:val="24"/>
                <w:szCs w:val="24"/>
              </w:rPr>
            </w:pPr>
          </w:p>
          <w:p w14:paraId="78EE16F4" w14:textId="77777777" w:rsidR="00990078" w:rsidRPr="00990078" w:rsidRDefault="00990078" w:rsidP="00BE0EA1">
            <w:pPr>
              <w:rPr>
                <w:rFonts w:ascii="Garamond" w:hAnsi="Garamond"/>
                <w:sz w:val="24"/>
                <w:szCs w:val="24"/>
              </w:rPr>
            </w:pPr>
          </w:p>
          <w:p w14:paraId="60F37524" w14:textId="77777777" w:rsidR="00990078" w:rsidRPr="00990078" w:rsidRDefault="00990078" w:rsidP="00BE0EA1">
            <w:pPr>
              <w:rPr>
                <w:rFonts w:ascii="Garamond" w:hAnsi="Garamond"/>
                <w:sz w:val="24"/>
                <w:szCs w:val="24"/>
              </w:rPr>
            </w:pPr>
          </w:p>
          <w:p w14:paraId="76E1D27F" w14:textId="77777777" w:rsidR="00990078" w:rsidRPr="00990078" w:rsidRDefault="00990078" w:rsidP="00BE0EA1">
            <w:pPr>
              <w:rPr>
                <w:rFonts w:ascii="Garamond" w:hAnsi="Garamond"/>
                <w:sz w:val="24"/>
                <w:szCs w:val="24"/>
              </w:rPr>
            </w:pPr>
          </w:p>
        </w:tc>
        <w:tc>
          <w:tcPr>
            <w:tcW w:w="556" w:type="pct"/>
          </w:tcPr>
          <w:p w14:paraId="50554BF8"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authors conducted a retrospective cohort study using insurance claims data. They:</w:t>
            </w:r>
          </w:p>
          <w:p w14:paraId="7350506B" w14:textId="77777777" w:rsidR="00990078" w:rsidRPr="00990078" w:rsidRDefault="00990078" w:rsidP="00BE0EA1">
            <w:pPr>
              <w:rPr>
                <w:rFonts w:ascii="Garamond" w:hAnsi="Garamond"/>
                <w:sz w:val="24"/>
                <w:szCs w:val="24"/>
              </w:rPr>
            </w:pPr>
          </w:p>
          <w:p w14:paraId="6B2A0537" w14:textId="77777777" w:rsidR="00990078" w:rsidRPr="00990078" w:rsidRDefault="00990078" w:rsidP="00BE0EA1">
            <w:pPr>
              <w:rPr>
                <w:rFonts w:ascii="Garamond" w:hAnsi="Garamond"/>
                <w:sz w:val="24"/>
                <w:szCs w:val="24"/>
              </w:rPr>
            </w:pPr>
            <w:r w:rsidRPr="00990078">
              <w:rPr>
                <w:rFonts w:ascii="Garamond" w:hAnsi="Garamond"/>
                <w:sz w:val="24"/>
                <w:szCs w:val="24"/>
              </w:rPr>
              <w:t>Identified preventive care claims and assessed whether they were denied.</w:t>
            </w:r>
          </w:p>
          <w:p w14:paraId="461701FF" w14:textId="77777777" w:rsidR="00990078" w:rsidRPr="00990078" w:rsidRDefault="00990078" w:rsidP="00BE0EA1">
            <w:pPr>
              <w:rPr>
                <w:rFonts w:ascii="Garamond" w:hAnsi="Garamond"/>
                <w:sz w:val="24"/>
                <w:szCs w:val="24"/>
              </w:rPr>
            </w:pPr>
          </w:p>
          <w:p w14:paraId="7BB46694" w14:textId="77777777" w:rsidR="00990078" w:rsidRPr="00990078" w:rsidRDefault="00990078" w:rsidP="00BE0EA1">
            <w:pPr>
              <w:rPr>
                <w:rFonts w:ascii="Garamond" w:hAnsi="Garamond"/>
                <w:sz w:val="24"/>
                <w:szCs w:val="24"/>
              </w:rPr>
            </w:pPr>
            <w:r w:rsidRPr="00990078">
              <w:rPr>
                <w:rFonts w:ascii="Garamond" w:hAnsi="Garamond"/>
                <w:sz w:val="24"/>
                <w:szCs w:val="24"/>
              </w:rPr>
              <w:t>Linked claims to patient-level social determinants of health (SDOH) variables such as income, race/ethnicity, and geographic region.</w:t>
            </w:r>
          </w:p>
          <w:p w14:paraId="52D03EE4" w14:textId="77777777" w:rsidR="00990078" w:rsidRPr="00990078" w:rsidRDefault="00990078" w:rsidP="00BE0EA1">
            <w:pPr>
              <w:rPr>
                <w:rFonts w:ascii="Garamond" w:hAnsi="Garamond"/>
                <w:sz w:val="24"/>
                <w:szCs w:val="24"/>
              </w:rPr>
            </w:pPr>
          </w:p>
          <w:p w14:paraId="1A0985E0" w14:textId="77777777" w:rsidR="00990078" w:rsidRPr="00990078" w:rsidRDefault="00990078" w:rsidP="00BE0EA1">
            <w:pPr>
              <w:rPr>
                <w:rFonts w:ascii="Garamond" w:hAnsi="Garamond"/>
                <w:sz w:val="24"/>
                <w:szCs w:val="24"/>
              </w:rPr>
            </w:pPr>
            <w:r w:rsidRPr="00990078">
              <w:rPr>
                <w:rFonts w:ascii="Garamond" w:hAnsi="Garamond"/>
                <w:sz w:val="24"/>
                <w:szCs w:val="24"/>
              </w:rPr>
              <w:t>Used multivariable regression analysis to determine which SDOH factors were associated with higher denial rates.</w:t>
            </w:r>
          </w:p>
          <w:p w14:paraId="7A619C11" w14:textId="77777777" w:rsidR="00990078" w:rsidRPr="00990078" w:rsidRDefault="00990078" w:rsidP="00BE0EA1">
            <w:pPr>
              <w:rPr>
                <w:rFonts w:ascii="Garamond" w:hAnsi="Garamond"/>
                <w:sz w:val="24"/>
                <w:szCs w:val="24"/>
              </w:rPr>
            </w:pPr>
          </w:p>
          <w:p w14:paraId="0DAD3323"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Adjusted for potential confounders like age, sex, and type </w:t>
            </w:r>
            <w:r w:rsidRPr="00990078">
              <w:rPr>
                <w:rFonts w:ascii="Garamond" w:hAnsi="Garamond"/>
                <w:sz w:val="24"/>
                <w:szCs w:val="24"/>
              </w:rPr>
              <w:lastRenderedPageBreak/>
              <w:t>of preventive service.</w:t>
            </w:r>
          </w:p>
          <w:p w14:paraId="488F7C0A" w14:textId="77777777" w:rsidR="00990078" w:rsidRPr="00990078" w:rsidRDefault="00990078" w:rsidP="00BE0EA1">
            <w:pPr>
              <w:rPr>
                <w:rFonts w:ascii="Garamond" w:hAnsi="Garamond"/>
                <w:sz w:val="24"/>
                <w:szCs w:val="24"/>
              </w:rPr>
            </w:pPr>
          </w:p>
          <w:p w14:paraId="4396598F" w14:textId="77777777" w:rsidR="00990078" w:rsidRPr="00990078" w:rsidRDefault="00990078" w:rsidP="00BE0EA1">
            <w:pPr>
              <w:rPr>
                <w:rFonts w:ascii="Garamond" w:hAnsi="Garamond"/>
                <w:sz w:val="24"/>
                <w:szCs w:val="24"/>
              </w:rPr>
            </w:pPr>
          </w:p>
          <w:p w14:paraId="79F69930" w14:textId="77777777" w:rsidR="00990078" w:rsidRPr="00990078" w:rsidRDefault="00990078" w:rsidP="00BE0EA1">
            <w:pPr>
              <w:rPr>
                <w:rFonts w:ascii="Garamond" w:hAnsi="Garamond"/>
                <w:sz w:val="24"/>
                <w:szCs w:val="24"/>
              </w:rPr>
            </w:pPr>
          </w:p>
          <w:p w14:paraId="045FC944" w14:textId="77777777" w:rsidR="00990078" w:rsidRPr="00990078" w:rsidRDefault="00990078" w:rsidP="00BE0EA1">
            <w:pPr>
              <w:rPr>
                <w:rFonts w:ascii="Garamond" w:hAnsi="Garamond"/>
                <w:sz w:val="24"/>
                <w:szCs w:val="24"/>
              </w:rPr>
            </w:pPr>
          </w:p>
        </w:tc>
        <w:tc>
          <w:tcPr>
            <w:tcW w:w="556" w:type="pct"/>
          </w:tcPr>
          <w:p w14:paraId="69B8EEDF"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independent variables were social determinants of health (SDOH) factors linked to patients, including:</w:t>
            </w:r>
          </w:p>
          <w:p w14:paraId="76B0D18D" w14:textId="77777777" w:rsidR="00990078" w:rsidRPr="00990078" w:rsidRDefault="00990078" w:rsidP="00BE0EA1">
            <w:pPr>
              <w:rPr>
                <w:rFonts w:ascii="Garamond" w:hAnsi="Garamond"/>
                <w:sz w:val="24"/>
                <w:szCs w:val="24"/>
              </w:rPr>
            </w:pPr>
            <w:r w:rsidRPr="00990078">
              <w:rPr>
                <w:rFonts w:ascii="Garamond" w:hAnsi="Garamond"/>
                <w:sz w:val="24"/>
                <w:szCs w:val="24"/>
              </w:rPr>
              <w:t>Race/ethnicity</w:t>
            </w:r>
          </w:p>
          <w:p w14:paraId="786407AE" w14:textId="77777777" w:rsidR="00990078" w:rsidRPr="00990078" w:rsidRDefault="00990078" w:rsidP="00BE0EA1">
            <w:pPr>
              <w:rPr>
                <w:rFonts w:ascii="Garamond" w:hAnsi="Garamond"/>
                <w:sz w:val="24"/>
                <w:szCs w:val="24"/>
              </w:rPr>
            </w:pPr>
            <w:r w:rsidRPr="00990078">
              <w:rPr>
                <w:rFonts w:ascii="Garamond" w:hAnsi="Garamond"/>
                <w:sz w:val="24"/>
                <w:szCs w:val="24"/>
              </w:rPr>
              <w:t>Income level</w:t>
            </w:r>
          </w:p>
          <w:p w14:paraId="308788FC" w14:textId="77777777" w:rsidR="00990078" w:rsidRPr="00990078" w:rsidRDefault="00990078" w:rsidP="00BE0EA1">
            <w:pPr>
              <w:rPr>
                <w:rFonts w:ascii="Garamond" w:hAnsi="Garamond"/>
                <w:sz w:val="24"/>
                <w:szCs w:val="24"/>
              </w:rPr>
            </w:pPr>
            <w:r w:rsidRPr="00990078">
              <w:rPr>
                <w:rFonts w:ascii="Garamond" w:hAnsi="Garamond"/>
                <w:sz w:val="24"/>
                <w:szCs w:val="24"/>
              </w:rPr>
              <w:t>Geographic region</w:t>
            </w:r>
          </w:p>
          <w:p w14:paraId="5A9EFF3E"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Insurance plan </w:t>
            </w:r>
            <w:r w:rsidRPr="00990078">
              <w:rPr>
                <w:rFonts w:ascii="Garamond" w:hAnsi="Garamond"/>
                <w:sz w:val="24"/>
                <w:szCs w:val="24"/>
              </w:rPr>
              <w:lastRenderedPageBreak/>
              <w:t>characteristics</w:t>
            </w:r>
          </w:p>
          <w:p w14:paraId="20B2C33E" w14:textId="77777777" w:rsidR="00990078" w:rsidRPr="00990078" w:rsidRDefault="00990078" w:rsidP="00BE0EA1">
            <w:pPr>
              <w:rPr>
                <w:rFonts w:ascii="Garamond" w:hAnsi="Garamond"/>
                <w:sz w:val="24"/>
                <w:szCs w:val="24"/>
              </w:rPr>
            </w:pPr>
          </w:p>
          <w:p w14:paraId="04F8F393" w14:textId="77777777" w:rsidR="00990078" w:rsidRPr="00990078" w:rsidRDefault="00990078" w:rsidP="00BE0EA1">
            <w:pPr>
              <w:rPr>
                <w:rFonts w:ascii="Garamond" w:hAnsi="Garamond"/>
                <w:sz w:val="24"/>
                <w:szCs w:val="24"/>
              </w:rPr>
            </w:pPr>
            <w:r w:rsidRPr="00990078">
              <w:rPr>
                <w:rFonts w:ascii="Garamond" w:hAnsi="Garamond"/>
                <w:sz w:val="24"/>
                <w:szCs w:val="24"/>
              </w:rPr>
              <w:t>These variables were used to predict differences in denial rates for preventive care claims.</w:t>
            </w:r>
          </w:p>
          <w:p w14:paraId="5DA4FDE8" w14:textId="77777777" w:rsidR="00990078" w:rsidRPr="00990078" w:rsidRDefault="00990078" w:rsidP="00BE0EA1">
            <w:pPr>
              <w:rPr>
                <w:rFonts w:ascii="Garamond" w:hAnsi="Garamond"/>
                <w:sz w:val="24"/>
                <w:szCs w:val="24"/>
              </w:rPr>
            </w:pPr>
          </w:p>
          <w:p w14:paraId="1DAD8D44" w14:textId="77777777" w:rsidR="00990078" w:rsidRPr="00990078" w:rsidRDefault="00990078" w:rsidP="00BE0EA1">
            <w:pPr>
              <w:rPr>
                <w:rFonts w:ascii="Garamond" w:hAnsi="Garamond"/>
                <w:sz w:val="24"/>
                <w:szCs w:val="24"/>
              </w:rPr>
            </w:pPr>
            <w:r w:rsidRPr="00990078">
              <w:rPr>
                <w:rFonts w:ascii="Garamond" w:hAnsi="Garamond"/>
                <w:sz w:val="24"/>
                <w:szCs w:val="24"/>
              </w:rPr>
              <w:t>The dependent variable was the occurrence of an insurance claim denial for preventive healthcare services. This was coded as whether a submitted claim for a preventive service was approved or denied.</w:t>
            </w:r>
          </w:p>
          <w:p w14:paraId="26113755" w14:textId="77777777" w:rsidR="00990078" w:rsidRPr="00990078" w:rsidRDefault="00990078" w:rsidP="00BE0EA1">
            <w:pPr>
              <w:rPr>
                <w:rFonts w:ascii="Garamond" w:hAnsi="Garamond"/>
                <w:sz w:val="24"/>
                <w:szCs w:val="24"/>
              </w:rPr>
            </w:pPr>
          </w:p>
          <w:p w14:paraId="7D84723F" w14:textId="77777777" w:rsidR="00990078" w:rsidRPr="00990078" w:rsidRDefault="00990078" w:rsidP="00BE0EA1">
            <w:pPr>
              <w:rPr>
                <w:rFonts w:ascii="Garamond" w:hAnsi="Garamond"/>
                <w:sz w:val="24"/>
                <w:szCs w:val="24"/>
              </w:rPr>
            </w:pPr>
          </w:p>
        </w:tc>
        <w:tc>
          <w:tcPr>
            <w:tcW w:w="556" w:type="pct"/>
          </w:tcPr>
          <w:p w14:paraId="5D1FC7D5"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article examines how social determinants of health (SDOH) influence the likelihood of insurance claim denials for preventive care. The central theme is that structural and </w:t>
            </w:r>
            <w:r w:rsidRPr="00990078">
              <w:rPr>
                <w:rFonts w:ascii="Garamond" w:hAnsi="Garamond"/>
                <w:sz w:val="24"/>
                <w:szCs w:val="24"/>
              </w:rPr>
              <w:lastRenderedPageBreak/>
              <w:t>demographic factors outside the control of patients and providers can increase the risk of denials, which undermines equitable access to covered preventive services.</w:t>
            </w:r>
          </w:p>
          <w:p w14:paraId="2742146A" w14:textId="77777777" w:rsidR="00990078" w:rsidRPr="00990078" w:rsidRDefault="00990078" w:rsidP="00BE0EA1">
            <w:pPr>
              <w:rPr>
                <w:rFonts w:ascii="Garamond" w:hAnsi="Garamond"/>
                <w:sz w:val="24"/>
                <w:szCs w:val="24"/>
              </w:rPr>
            </w:pPr>
          </w:p>
        </w:tc>
        <w:tc>
          <w:tcPr>
            <w:tcW w:w="556" w:type="pct"/>
          </w:tcPr>
          <w:p w14:paraId="2D15FEC6"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study found that claim denials were not evenly distributed. Patients from lower-income areas, certain racial and ethnic minority groups, and specific geographic </w:t>
            </w:r>
            <w:r w:rsidRPr="00990078">
              <w:rPr>
                <w:rFonts w:ascii="Garamond" w:hAnsi="Garamond"/>
                <w:sz w:val="24"/>
                <w:szCs w:val="24"/>
              </w:rPr>
              <w:lastRenderedPageBreak/>
              <w:t>regions experienced higher rates of denied claims for preventive care. These disparities persisted even after adjusting for service type and patient demographics, suggesting systemic inequities in the claims review process.</w:t>
            </w:r>
          </w:p>
          <w:p w14:paraId="3FDBCAB8" w14:textId="77777777" w:rsidR="00990078" w:rsidRPr="00990078" w:rsidRDefault="00990078" w:rsidP="00BE0EA1">
            <w:pPr>
              <w:rPr>
                <w:rFonts w:ascii="Garamond" w:hAnsi="Garamond"/>
                <w:sz w:val="24"/>
                <w:szCs w:val="24"/>
              </w:rPr>
            </w:pPr>
          </w:p>
        </w:tc>
        <w:tc>
          <w:tcPr>
            <w:tcW w:w="556" w:type="pct"/>
          </w:tcPr>
          <w:p w14:paraId="6DFCD80C"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When compared to broader healthcare checklist and denial-prevention literature, the shared pattern is that systematic processes (or lack thereof) directly affect claim </w:t>
            </w:r>
            <w:r w:rsidRPr="00990078">
              <w:rPr>
                <w:rFonts w:ascii="Garamond" w:hAnsi="Garamond"/>
                <w:sz w:val="24"/>
                <w:szCs w:val="24"/>
              </w:rPr>
              <w:lastRenderedPageBreak/>
              <w:t xml:space="preserve">outcomes. Just as checklists reduce clinical or billing errors, this study shows that structured inequities in payer processes drive preventable denials. The shared finding is the need for standardized, equitable review practices to reduce variability in claim outcomes, whether that variability comes from human error (solved </w:t>
            </w:r>
            <w:r w:rsidRPr="00990078">
              <w:rPr>
                <w:rFonts w:ascii="Garamond" w:hAnsi="Garamond"/>
                <w:sz w:val="24"/>
                <w:szCs w:val="24"/>
              </w:rPr>
              <w:lastRenderedPageBreak/>
              <w:t>by checklists) or structural bias (revealed by SDOH analysis).</w:t>
            </w:r>
          </w:p>
          <w:p w14:paraId="17F93115" w14:textId="77777777" w:rsidR="00990078" w:rsidRPr="00990078" w:rsidRDefault="00990078" w:rsidP="00BE0EA1">
            <w:pPr>
              <w:rPr>
                <w:rFonts w:ascii="Garamond" w:hAnsi="Garamond"/>
                <w:sz w:val="24"/>
                <w:szCs w:val="24"/>
              </w:rPr>
            </w:pPr>
          </w:p>
        </w:tc>
        <w:tc>
          <w:tcPr>
            <w:tcW w:w="556" w:type="pct"/>
          </w:tcPr>
          <w:p w14:paraId="4DDCBBAF"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article did not conduct a formal cost-effectiveness study, but it emphasized the financial burden of denied preventive care claims. Denials create additional administrative </w:t>
            </w:r>
            <w:r w:rsidRPr="00990078">
              <w:rPr>
                <w:rFonts w:ascii="Garamond" w:hAnsi="Garamond"/>
                <w:sz w:val="24"/>
                <w:szCs w:val="24"/>
              </w:rPr>
              <w:lastRenderedPageBreak/>
              <w:t>costs due to resubmissions and appeals, while patients may face unexpected out-of-pocket expenses when coverage is denied. The downstream costs are also substantial, since patients who forgo preventive services because of denials are more likely to require expensive treatment later.</w:t>
            </w:r>
          </w:p>
          <w:p w14:paraId="2819063D" w14:textId="77777777" w:rsidR="00990078" w:rsidRPr="00990078" w:rsidRDefault="00990078" w:rsidP="00BE0EA1">
            <w:pPr>
              <w:rPr>
                <w:rFonts w:ascii="Garamond" w:hAnsi="Garamond"/>
                <w:sz w:val="24"/>
                <w:szCs w:val="24"/>
              </w:rPr>
            </w:pPr>
          </w:p>
          <w:p w14:paraId="63110795" w14:textId="77777777" w:rsidR="00990078" w:rsidRPr="00990078" w:rsidRDefault="00990078" w:rsidP="00BE0EA1">
            <w:pPr>
              <w:rPr>
                <w:rFonts w:ascii="Garamond" w:hAnsi="Garamond"/>
                <w:sz w:val="24"/>
                <w:szCs w:val="24"/>
              </w:rPr>
            </w:pPr>
            <w:r w:rsidRPr="00990078">
              <w:rPr>
                <w:rFonts w:ascii="Garamond" w:hAnsi="Garamond"/>
                <w:sz w:val="24"/>
                <w:szCs w:val="24"/>
              </w:rPr>
              <w:t>The study directly investiga</w:t>
            </w:r>
            <w:r w:rsidRPr="00990078">
              <w:rPr>
                <w:rFonts w:ascii="Garamond" w:hAnsi="Garamond"/>
                <w:sz w:val="24"/>
                <w:szCs w:val="24"/>
              </w:rPr>
              <w:lastRenderedPageBreak/>
              <w:t xml:space="preserve">ted claim denials and found that SDOH factors significantly influenced denial rates. Preventive services that should have been covered under the Affordable Care Act were sometimes denied, and denials were disproportionately higher among low-income and minority populations. This suggests </w:t>
            </w:r>
            <w:r w:rsidRPr="00990078">
              <w:rPr>
                <w:rFonts w:ascii="Garamond" w:hAnsi="Garamond"/>
                <w:sz w:val="24"/>
                <w:szCs w:val="24"/>
              </w:rPr>
              <w:lastRenderedPageBreak/>
              <w:t>that claim denials are not just an operational problem but also a matter of equity and access. The findings highlight the need for standardized, transparent processes (like structured checklists or automated review systems) to ensure preventive claims are processed fairly and consistently.</w:t>
            </w:r>
          </w:p>
          <w:p w14:paraId="1F5CCC87" w14:textId="77777777" w:rsidR="00990078" w:rsidRPr="00990078" w:rsidRDefault="00990078" w:rsidP="00BE0EA1">
            <w:pPr>
              <w:rPr>
                <w:rFonts w:ascii="Garamond" w:hAnsi="Garamond"/>
                <w:sz w:val="24"/>
                <w:szCs w:val="24"/>
              </w:rPr>
            </w:pPr>
          </w:p>
        </w:tc>
        <w:tc>
          <w:tcPr>
            <w:tcW w:w="556" w:type="pct"/>
          </w:tcPr>
          <w:p w14:paraId="461F1203"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study was limited by its reliance on retrospective insurance claims data, which may be subject to coding errors or incomplete information. While the analysis </w:t>
            </w:r>
            <w:r w:rsidRPr="00990078">
              <w:rPr>
                <w:rFonts w:ascii="Garamond" w:hAnsi="Garamond"/>
                <w:sz w:val="24"/>
                <w:szCs w:val="24"/>
              </w:rPr>
              <w:lastRenderedPageBreak/>
              <w:t>identified associations between social determinants of health and claim denials, it could not establish causality. The dataset represented privately insured patients, which limits the generalizability of findings to Medicaid, Medicare, or uninsured populations. Additionally, the study did not evaluate specific organiza</w:t>
            </w:r>
            <w:r w:rsidRPr="00990078">
              <w:rPr>
                <w:rFonts w:ascii="Garamond" w:hAnsi="Garamond"/>
                <w:sz w:val="24"/>
                <w:szCs w:val="24"/>
              </w:rPr>
              <w:lastRenderedPageBreak/>
              <w:t>tional or payer-level interventions that could reduce disparities, so its findings highlight inequities without testing potential solutions.</w:t>
            </w:r>
          </w:p>
          <w:p w14:paraId="3102D50F" w14:textId="77777777" w:rsidR="00990078" w:rsidRPr="00990078" w:rsidRDefault="00990078" w:rsidP="00BE0EA1">
            <w:pPr>
              <w:rPr>
                <w:rFonts w:ascii="Garamond" w:hAnsi="Garamond"/>
                <w:sz w:val="24"/>
                <w:szCs w:val="24"/>
              </w:rPr>
            </w:pPr>
          </w:p>
        </w:tc>
      </w:tr>
      <w:tr w:rsidR="00990078" w:rsidRPr="00990078" w14:paraId="63D31976" w14:textId="77777777" w:rsidTr="00990078">
        <w:tc>
          <w:tcPr>
            <w:tcW w:w="555" w:type="pct"/>
          </w:tcPr>
          <w:p w14:paraId="266EAC7A"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Kornack, J., Roane, </w:t>
            </w:r>
            <w:r w:rsidRPr="00990078">
              <w:rPr>
                <w:rFonts w:ascii="Garamond" w:hAnsi="Garamond"/>
                <w:sz w:val="24"/>
                <w:szCs w:val="24"/>
              </w:rPr>
              <w:lastRenderedPageBreak/>
              <w:t xml:space="preserve">H. S., May, R. J., Shepherd, K. E., &amp; Mandell, D. S. (2023). Preventing insurance denials of applied behavior analysis treatment based on misuse of medically unlikely edits. </w:t>
            </w:r>
            <w:r w:rsidRPr="00990078">
              <w:rPr>
                <w:rFonts w:ascii="Garamond" w:hAnsi="Garamond"/>
                <w:i/>
                <w:iCs/>
                <w:sz w:val="24"/>
                <w:szCs w:val="24"/>
              </w:rPr>
              <w:t>Behavior Analysis in Practice, 16</w:t>
            </w:r>
            <w:r w:rsidRPr="00990078">
              <w:rPr>
                <w:rFonts w:ascii="Garamond" w:hAnsi="Garamond"/>
                <w:sz w:val="24"/>
                <w:szCs w:val="24"/>
              </w:rPr>
              <w:t>(4), 1681–1694. https://doi.org/10.1007/s40617-023-00872-9</w:t>
            </w:r>
          </w:p>
        </w:tc>
        <w:tc>
          <w:tcPr>
            <w:tcW w:w="556" w:type="pct"/>
          </w:tcPr>
          <w:p w14:paraId="7EDB892D"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article focuses </w:t>
            </w:r>
            <w:r w:rsidRPr="00990078">
              <w:rPr>
                <w:rFonts w:ascii="Garamond" w:hAnsi="Garamond"/>
                <w:sz w:val="24"/>
                <w:szCs w:val="24"/>
              </w:rPr>
              <w:lastRenderedPageBreak/>
              <w:t xml:space="preserve">on Applied Behavior Analysis (ABA) service providers and their clients in the United States. It examines how insurance payers (including Medicaid and commercial insurers) apply Medically Unlikely Edits (MUEs) to ABA claims. While not studying individual patients directly, the population of concern is children and </w:t>
            </w:r>
            <w:r w:rsidRPr="00990078">
              <w:rPr>
                <w:rFonts w:ascii="Garamond" w:hAnsi="Garamond"/>
                <w:sz w:val="24"/>
                <w:szCs w:val="24"/>
              </w:rPr>
              <w:lastRenderedPageBreak/>
              <w:t>families receiving ABA therapy whose access to care is impacted by claim denials, and clinicians/organizations submitting claims who face financial and operational barriers due to these denials.</w:t>
            </w:r>
          </w:p>
          <w:p w14:paraId="472A80C7" w14:textId="77777777" w:rsidR="00990078" w:rsidRPr="00990078" w:rsidRDefault="00990078" w:rsidP="00BE0EA1">
            <w:pPr>
              <w:rPr>
                <w:rFonts w:ascii="Garamond" w:hAnsi="Garamond"/>
                <w:sz w:val="24"/>
                <w:szCs w:val="24"/>
              </w:rPr>
            </w:pPr>
          </w:p>
        </w:tc>
        <w:tc>
          <w:tcPr>
            <w:tcW w:w="556" w:type="pct"/>
          </w:tcPr>
          <w:p w14:paraId="449B2ED4"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paper is primaril</w:t>
            </w:r>
            <w:r w:rsidRPr="00990078">
              <w:rPr>
                <w:rFonts w:ascii="Garamond" w:hAnsi="Garamond"/>
                <w:sz w:val="24"/>
                <w:szCs w:val="24"/>
              </w:rPr>
              <w:lastRenderedPageBreak/>
              <w:t>y a policy and practice analysis rather than an experimental trial.</w:t>
            </w:r>
          </w:p>
          <w:p w14:paraId="1060615F" w14:textId="77777777" w:rsidR="00990078" w:rsidRPr="00990078" w:rsidRDefault="00990078" w:rsidP="00BE0EA1">
            <w:pPr>
              <w:rPr>
                <w:rFonts w:ascii="Garamond" w:hAnsi="Garamond"/>
                <w:sz w:val="24"/>
                <w:szCs w:val="24"/>
              </w:rPr>
            </w:pPr>
            <w:r w:rsidRPr="00990078">
              <w:rPr>
                <w:rFonts w:ascii="Garamond" w:hAnsi="Garamond"/>
                <w:sz w:val="24"/>
                <w:szCs w:val="24"/>
              </w:rPr>
              <w:t>The authors reviewed how the Centers for Medicare and Medicaid Services (CMS) originally designed MUEs (as billing edit flags) and compared this to how some payers have misapplied MUEs as hard caps on ABA services.</w:t>
            </w:r>
          </w:p>
          <w:p w14:paraId="5C8431A2"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They used </w:t>
            </w:r>
            <w:r w:rsidRPr="00990078">
              <w:rPr>
                <w:rFonts w:ascii="Garamond" w:hAnsi="Garamond"/>
                <w:sz w:val="24"/>
                <w:szCs w:val="24"/>
              </w:rPr>
              <w:lastRenderedPageBreak/>
              <w:t>case examples from ABA providers and payer policies to illustrate denial patterns.</w:t>
            </w:r>
          </w:p>
          <w:p w14:paraId="5670EF90" w14:textId="77777777" w:rsidR="00990078" w:rsidRPr="00990078" w:rsidRDefault="00990078" w:rsidP="00BE0EA1">
            <w:pPr>
              <w:rPr>
                <w:rFonts w:ascii="Garamond" w:hAnsi="Garamond"/>
                <w:sz w:val="24"/>
                <w:szCs w:val="24"/>
              </w:rPr>
            </w:pPr>
            <w:r w:rsidRPr="00990078">
              <w:rPr>
                <w:rFonts w:ascii="Garamond" w:hAnsi="Garamond"/>
                <w:sz w:val="24"/>
                <w:szCs w:val="24"/>
              </w:rPr>
              <w:t>The methodology included a critical review of administrative policies, payer guidance, and appeal processes, and an analysis of the implications for service access, compliance with federal law, and clinical care.</w:t>
            </w:r>
          </w:p>
          <w:p w14:paraId="45A34DBD" w14:textId="77777777" w:rsidR="00990078" w:rsidRPr="00990078" w:rsidRDefault="00990078" w:rsidP="00BE0EA1">
            <w:pPr>
              <w:rPr>
                <w:rFonts w:ascii="Garamond" w:hAnsi="Garamond"/>
                <w:sz w:val="24"/>
                <w:szCs w:val="24"/>
              </w:rPr>
            </w:pPr>
          </w:p>
        </w:tc>
        <w:tc>
          <w:tcPr>
            <w:tcW w:w="556" w:type="pct"/>
          </w:tcPr>
          <w:p w14:paraId="24EA311D"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independent </w:t>
            </w:r>
            <w:r w:rsidRPr="00990078">
              <w:rPr>
                <w:rFonts w:ascii="Garamond" w:hAnsi="Garamond"/>
                <w:sz w:val="24"/>
                <w:szCs w:val="24"/>
              </w:rPr>
              <w:lastRenderedPageBreak/>
              <w:t xml:space="preserve">variable in Kornack et al. (2023) is the way insurance payers apply Medically Unlikely Edits (MUEs) to Applied Behavior Analysis (ABA) claims. In their correct use, MUEs are intended as billing edit flags that identify claims for review. In their misuse, however, insurers treat them as hard caps on the number of </w:t>
            </w:r>
            <w:r w:rsidRPr="00990078">
              <w:rPr>
                <w:rFonts w:ascii="Garamond" w:hAnsi="Garamond"/>
                <w:sz w:val="24"/>
                <w:szCs w:val="24"/>
              </w:rPr>
              <w:lastRenderedPageBreak/>
              <w:t>billable units for ABA services, which restricts access.</w:t>
            </w:r>
          </w:p>
          <w:p w14:paraId="476AFD20"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The dependent variable is the outcome of insurance claims for ABA treatment. This includes whether claims are approved or denied when MUE thresholds are applied. The study also considers the broader effects of denials, such as service access for clients, financial strain </w:t>
            </w:r>
            <w:r w:rsidRPr="00990078">
              <w:rPr>
                <w:rFonts w:ascii="Garamond" w:hAnsi="Garamond"/>
                <w:sz w:val="24"/>
                <w:szCs w:val="24"/>
              </w:rPr>
              <w:lastRenderedPageBreak/>
              <w:t>for providers, and the increased administrative burden of appeals.</w:t>
            </w:r>
          </w:p>
          <w:p w14:paraId="6E7D9B6D" w14:textId="77777777" w:rsidR="00990078" w:rsidRPr="00990078" w:rsidRDefault="00990078" w:rsidP="00BE0EA1">
            <w:pPr>
              <w:rPr>
                <w:rFonts w:ascii="Garamond" w:hAnsi="Garamond"/>
                <w:sz w:val="24"/>
                <w:szCs w:val="24"/>
              </w:rPr>
            </w:pPr>
          </w:p>
        </w:tc>
        <w:tc>
          <w:tcPr>
            <w:tcW w:w="556" w:type="pct"/>
          </w:tcPr>
          <w:p w14:paraId="63C08687"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central theme </w:t>
            </w:r>
            <w:r w:rsidRPr="00990078">
              <w:rPr>
                <w:rFonts w:ascii="Garamond" w:hAnsi="Garamond"/>
                <w:sz w:val="24"/>
                <w:szCs w:val="24"/>
              </w:rPr>
              <w:lastRenderedPageBreak/>
              <w:t xml:space="preserve">of the article is preventing inappropriate claim denials in Applied Behavior Analysis (ABA) by correcting misuse of Medically Unlikely Edits (MUEs). The authors emphasize that MUEs were designed as a safeguard against billing errors, not as rigid service limits. When misapplied by payers, MUEs create barriers </w:t>
            </w:r>
            <w:r w:rsidRPr="00990078">
              <w:rPr>
                <w:rFonts w:ascii="Garamond" w:hAnsi="Garamond"/>
                <w:sz w:val="24"/>
                <w:szCs w:val="24"/>
              </w:rPr>
              <w:lastRenderedPageBreak/>
              <w:t>to care, financial strain for providers, and inequities in access to essential autism treatment services.</w:t>
            </w:r>
          </w:p>
          <w:p w14:paraId="6BF5D277" w14:textId="77777777" w:rsidR="00990078" w:rsidRPr="00990078" w:rsidRDefault="00990078" w:rsidP="00BE0EA1">
            <w:pPr>
              <w:rPr>
                <w:rFonts w:ascii="Garamond" w:hAnsi="Garamond"/>
                <w:sz w:val="24"/>
                <w:szCs w:val="24"/>
              </w:rPr>
            </w:pPr>
          </w:p>
        </w:tc>
        <w:tc>
          <w:tcPr>
            <w:tcW w:w="556" w:type="pct"/>
          </w:tcPr>
          <w:p w14:paraId="50980EDF"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study found </w:t>
            </w:r>
            <w:r w:rsidRPr="00990078">
              <w:rPr>
                <w:rFonts w:ascii="Garamond" w:hAnsi="Garamond"/>
                <w:sz w:val="24"/>
                <w:szCs w:val="24"/>
              </w:rPr>
              <w:lastRenderedPageBreak/>
              <w:t xml:space="preserve">that misapplication of MUEs has led to widespread, inappropriate insurance denials for ABA claims. These denials directly reduce access to therapy for children with autism, force providers to engage in time-consuming appeals, and create financial instability for organizations delivering care. The authors highlight that </w:t>
            </w:r>
            <w:r w:rsidRPr="00990078">
              <w:rPr>
                <w:rFonts w:ascii="Garamond" w:hAnsi="Garamond"/>
                <w:sz w:val="24"/>
                <w:szCs w:val="24"/>
              </w:rPr>
              <w:lastRenderedPageBreak/>
              <w:t>correct interpretation of MUEs would allow claims above the edit threshold to be reviewed, not automatically denied. They also argue that improper denials may conflict with federal coverage requirements, particularly under Medicaid, and call for clearer guidance and advocacy to protect client access.</w:t>
            </w:r>
          </w:p>
          <w:p w14:paraId="747F73B9" w14:textId="77777777" w:rsidR="00990078" w:rsidRPr="00990078" w:rsidRDefault="00990078" w:rsidP="00BE0EA1">
            <w:pPr>
              <w:rPr>
                <w:rFonts w:ascii="Garamond" w:hAnsi="Garamond"/>
                <w:sz w:val="24"/>
                <w:szCs w:val="24"/>
              </w:rPr>
            </w:pPr>
          </w:p>
        </w:tc>
        <w:tc>
          <w:tcPr>
            <w:tcW w:w="556" w:type="pct"/>
          </w:tcPr>
          <w:p w14:paraId="588783EE"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When compared to </w:t>
            </w:r>
            <w:r w:rsidRPr="00990078">
              <w:rPr>
                <w:rFonts w:ascii="Garamond" w:hAnsi="Garamond"/>
                <w:sz w:val="24"/>
                <w:szCs w:val="24"/>
              </w:rPr>
              <w:lastRenderedPageBreak/>
              <w:t xml:space="preserve">other checklist and denial-prevention literature, this article shares the conclusion that structured, standardized processes are essential to reduce preventable errors and protect reimbursement. Just as clinical checklists improve safety and billing checklists improve accuracy, proper use of policy tools like MUEs </w:t>
            </w:r>
            <w:r w:rsidRPr="00990078">
              <w:rPr>
                <w:rFonts w:ascii="Garamond" w:hAnsi="Garamond"/>
                <w:sz w:val="24"/>
                <w:szCs w:val="24"/>
              </w:rPr>
              <w:lastRenderedPageBreak/>
              <w:t>ensures fairness and consistency in claim outcomes. Across studies, the consistent pattern is that misapplied or absent structure leads to avoidable denials and inequitable service delivery, while structured and transparent systems reduce errors and improve efficiency.</w:t>
            </w:r>
          </w:p>
          <w:p w14:paraId="61DD27E3" w14:textId="77777777" w:rsidR="00990078" w:rsidRPr="00990078" w:rsidRDefault="00990078" w:rsidP="00BE0EA1">
            <w:pPr>
              <w:rPr>
                <w:rFonts w:ascii="Garamond" w:hAnsi="Garamond"/>
                <w:sz w:val="24"/>
                <w:szCs w:val="24"/>
              </w:rPr>
            </w:pPr>
          </w:p>
        </w:tc>
        <w:tc>
          <w:tcPr>
            <w:tcW w:w="556" w:type="pct"/>
          </w:tcPr>
          <w:p w14:paraId="7C5014EA"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article did not </w:t>
            </w:r>
            <w:r w:rsidRPr="00990078">
              <w:rPr>
                <w:rFonts w:ascii="Garamond" w:hAnsi="Garamond"/>
                <w:sz w:val="24"/>
                <w:szCs w:val="24"/>
              </w:rPr>
              <w:lastRenderedPageBreak/>
              <w:t xml:space="preserve">include a formal economic evaluation, but it emphasized that correcting misuse of MUEs would lead to significant cost savings for both providers and the healthcare system. When denials are prevented, providers avoid the administrative burden of repeated appeals and resubmissions, which reduces staffing costs </w:t>
            </w:r>
            <w:r w:rsidRPr="00990078">
              <w:rPr>
                <w:rFonts w:ascii="Garamond" w:hAnsi="Garamond"/>
                <w:sz w:val="24"/>
                <w:szCs w:val="24"/>
              </w:rPr>
              <w:lastRenderedPageBreak/>
              <w:t xml:space="preserve">and time lost to nonbillable work. Families are also protected from unexpected out-of-pocket expenses that arise when claims are improperly denied. On a systems level, ensuring appropriate claim approvals reduces delays in care that can otherwise lead to more intensive and expensive interventions later. By promoting accurate </w:t>
            </w:r>
            <w:r w:rsidRPr="00990078">
              <w:rPr>
                <w:rFonts w:ascii="Garamond" w:hAnsi="Garamond"/>
                <w:sz w:val="24"/>
                <w:szCs w:val="24"/>
              </w:rPr>
              <w:lastRenderedPageBreak/>
              <w:t>claim processing, the article highlights that proper application of MUEs supports both financial sustainability for ABA organizations and equitable access to covered services.</w:t>
            </w:r>
          </w:p>
          <w:p w14:paraId="273F52F7" w14:textId="77777777" w:rsidR="00990078" w:rsidRPr="00990078" w:rsidRDefault="00990078" w:rsidP="00BE0EA1">
            <w:pPr>
              <w:rPr>
                <w:rFonts w:ascii="Garamond" w:hAnsi="Garamond"/>
                <w:sz w:val="24"/>
                <w:szCs w:val="24"/>
              </w:rPr>
            </w:pPr>
          </w:p>
        </w:tc>
        <w:tc>
          <w:tcPr>
            <w:tcW w:w="556" w:type="pct"/>
          </w:tcPr>
          <w:p w14:paraId="435E8E3E"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study was </w:t>
            </w:r>
            <w:r w:rsidRPr="00990078">
              <w:rPr>
                <w:rFonts w:ascii="Garamond" w:hAnsi="Garamond"/>
                <w:sz w:val="24"/>
                <w:szCs w:val="24"/>
              </w:rPr>
              <w:lastRenderedPageBreak/>
              <w:t>primarily a policy and practice analysis rather than an empirical trial, which limits the ability to measure outcomes directly. Its reliance on case examples and payer policy reviews may not capture the full scope of how Medically Unlikely Edits are applied across all insurers. Because the analysis focused on Applied Behavio</w:t>
            </w:r>
            <w:r w:rsidRPr="00990078">
              <w:rPr>
                <w:rFonts w:ascii="Garamond" w:hAnsi="Garamond"/>
                <w:sz w:val="24"/>
                <w:szCs w:val="24"/>
              </w:rPr>
              <w:lastRenderedPageBreak/>
              <w:t>r Analysis services, the findings may not generalize to other specialties or treatment types. In addition, while the authors discussed implications for access and financial sustainability, they did not provide quantitative data on cost savings or denial rates across large populations.</w:t>
            </w:r>
          </w:p>
          <w:p w14:paraId="1D83C96D" w14:textId="77777777" w:rsidR="00990078" w:rsidRPr="00990078" w:rsidRDefault="00990078" w:rsidP="00BE0EA1">
            <w:pPr>
              <w:rPr>
                <w:rFonts w:ascii="Garamond" w:hAnsi="Garamond"/>
                <w:sz w:val="24"/>
                <w:szCs w:val="24"/>
              </w:rPr>
            </w:pPr>
          </w:p>
        </w:tc>
      </w:tr>
      <w:tr w:rsidR="00990078" w:rsidRPr="00990078" w14:paraId="60EA802C" w14:textId="77777777" w:rsidTr="00990078">
        <w:tc>
          <w:tcPr>
            <w:tcW w:w="5000" w:type="pct"/>
            <w:gridSpan w:val="9"/>
            <w:shd w:val="clear" w:color="auto" w:fill="E8E8E8" w:themeFill="background2"/>
          </w:tcPr>
          <w:p w14:paraId="3484ACEB" w14:textId="77777777" w:rsidR="00990078" w:rsidRPr="00990078" w:rsidRDefault="00990078" w:rsidP="00BE0EA1">
            <w:pPr>
              <w:rPr>
                <w:rFonts w:ascii="Garamond" w:hAnsi="Garamond"/>
                <w:sz w:val="24"/>
                <w:szCs w:val="24"/>
              </w:rPr>
            </w:pPr>
            <w:r w:rsidRPr="00990078">
              <w:rPr>
                <w:rFonts w:ascii="Garamond" w:hAnsi="Garamond"/>
                <w:b/>
                <w:bCs/>
                <w:sz w:val="24"/>
                <w:szCs w:val="24"/>
                <w:shd w:val="clear" w:color="auto" w:fill="E8E8E8" w:themeFill="background2"/>
              </w:rPr>
              <w:lastRenderedPageBreak/>
              <w:t>Professional Practice/Industry Guidance Article (</w:t>
            </w:r>
            <w:r w:rsidRPr="00990078">
              <w:rPr>
                <w:rFonts w:ascii="Garamond" w:hAnsi="Garamond"/>
                <w:sz w:val="24"/>
                <w:szCs w:val="24"/>
              </w:rPr>
              <w:t>Not A Peer Reviewed Article): Practical guidance for healthcare leaders on identifying and preventing common claim denials, emphasizing the value of structured processes, checklists, and staff training to improve revenue cycle performance.</w:t>
            </w:r>
          </w:p>
        </w:tc>
      </w:tr>
      <w:tr w:rsidR="00990078" w:rsidRPr="00990078" w14:paraId="4833E99B" w14:textId="77777777" w:rsidTr="00990078">
        <w:tc>
          <w:tcPr>
            <w:tcW w:w="555" w:type="pct"/>
          </w:tcPr>
          <w:p w14:paraId="1F43F8CB"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American Association for Physician Leadership. (2025). A guide to understanding common denial issues. </w:t>
            </w:r>
            <w:r w:rsidRPr="00990078">
              <w:rPr>
                <w:rFonts w:ascii="Garamond" w:hAnsi="Garamond"/>
                <w:i/>
                <w:iCs/>
                <w:sz w:val="24"/>
                <w:szCs w:val="24"/>
              </w:rPr>
              <w:t>Physician Leadershi</w:t>
            </w:r>
            <w:r w:rsidRPr="00990078">
              <w:rPr>
                <w:rFonts w:ascii="Garamond" w:hAnsi="Garamond"/>
                <w:i/>
                <w:iCs/>
                <w:sz w:val="24"/>
                <w:szCs w:val="24"/>
              </w:rPr>
              <w:lastRenderedPageBreak/>
              <w:t>p Journal, 12</w:t>
            </w:r>
            <w:r w:rsidRPr="00990078">
              <w:rPr>
                <w:rFonts w:ascii="Garamond" w:hAnsi="Garamond"/>
                <w:sz w:val="24"/>
                <w:szCs w:val="24"/>
              </w:rPr>
              <w:t>(1). https://doi.org/10.55834/plj.6054827417</w:t>
            </w:r>
          </w:p>
          <w:p w14:paraId="0DAC514D" w14:textId="77777777" w:rsidR="00990078" w:rsidRPr="00990078" w:rsidRDefault="00990078" w:rsidP="00BE0EA1">
            <w:pPr>
              <w:rPr>
                <w:rFonts w:ascii="Garamond" w:hAnsi="Garamond"/>
                <w:sz w:val="24"/>
                <w:szCs w:val="24"/>
              </w:rPr>
            </w:pPr>
          </w:p>
          <w:p w14:paraId="26B7AA60" w14:textId="77777777" w:rsidR="00990078" w:rsidRPr="00990078" w:rsidRDefault="00990078" w:rsidP="00BE0EA1">
            <w:pPr>
              <w:rPr>
                <w:rFonts w:ascii="Garamond" w:hAnsi="Garamond"/>
                <w:sz w:val="24"/>
                <w:szCs w:val="24"/>
              </w:rPr>
            </w:pPr>
          </w:p>
        </w:tc>
        <w:tc>
          <w:tcPr>
            <w:tcW w:w="556" w:type="pct"/>
          </w:tcPr>
          <w:p w14:paraId="6F0FEF93"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The article does not study a specific patient or provider population. Instead, it addresses a general healthcare organiza</w:t>
            </w:r>
            <w:r w:rsidRPr="00990078">
              <w:rPr>
                <w:rFonts w:ascii="Garamond" w:hAnsi="Garamond"/>
                <w:sz w:val="24"/>
                <w:szCs w:val="24"/>
              </w:rPr>
              <w:lastRenderedPageBreak/>
              <w:t>tional audience, focusing on administrators, billing teams, and physician leaders who are responsible for managing the revenue cycle and preventing claim denials across healthcare settings.</w:t>
            </w:r>
          </w:p>
          <w:p w14:paraId="5166DE47" w14:textId="77777777" w:rsidR="00990078" w:rsidRPr="00990078" w:rsidRDefault="00990078" w:rsidP="00BE0EA1">
            <w:pPr>
              <w:rPr>
                <w:rFonts w:ascii="Garamond" w:hAnsi="Garamond"/>
                <w:sz w:val="24"/>
                <w:szCs w:val="24"/>
              </w:rPr>
            </w:pPr>
          </w:p>
        </w:tc>
        <w:tc>
          <w:tcPr>
            <w:tcW w:w="556" w:type="pct"/>
          </w:tcPr>
          <w:p w14:paraId="726A17A4"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This article is not an empirical study with data collection; it is a narrative review and applied analysis. The authors examined </w:t>
            </w:r>
            <w:r w:rsidRPr="00990078">
              <w:rPr>
                <w:rFonts w:ascii="Garamond" w:hAnsi="Garamond"/>
                <w:sz w:val="24"/>
                <w:szCs w:val="24"/>
              </w:rPr>
              <w:lastRenderedPageBreak/>
              <w:t>common causes of claim denials across healthcare organizations, summarized patterns from industry knowledge and case examples, and provided guidance on prevention strategies. The methodology is therefore descriptive and integrative rather than experimental.</w:t>
            </w:r>
          </w:p>
          <w:p w14:paraId="6B19E437" w14:textId="77777777" w:rsidR="00990078" w:rsidRPr="00990078" w:rsidRDefault="00990078" w:rsidP="00BE0EA1">
            <w:pPr>
              <w:rPr>
                <w:rFonts w:ascii="Garamond" w:hAnsi="Garamond"/>
                <w:sz w:val="24"/>
                <w:szCs w:val="24"/>
              </w:rPr>
            </w:pPr>
          </w:p>
        </w:tc>
        <w:tc>
          <w:tcPr>
            <w:tcW w:w="556" w:type="pct"/>
          </w:tcPr>
          <w:p w14:paraId="5B54F2B6"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independent variable, framed conceptually, is the application of structured denial-prevention strategies. This includes the use </w:t>
            </w:r>
            <w:r w:rsidRPr="00990078">
              <w:rPr>
                <w:rFonts w:ascii="Garamond" w:hAnsi="Garamond"/>
                <w:sz w:val="24"/>
                <w:szCs w:val="24"/>
              </w:rPr>
              <w:lastRenderedPageBreak/>
              <w:t>of process checklists, staff education, and standardized documentation/billing workflows to address common denial issues.</w:t>
            </w:r>
          </w:p>
          <w:p w14:paraId="64F01D23" w14:textId="77777777" w:rsidR="00990078" w:rsidRPr="00990078" w:rsidRDefault="00990078" w:rsidP="00BE0EA1">
            <w:pPr>
              <w:rPr>
                <w:rFonts w:ascii="Garamond" w:hAnsi="Garamond"/>
                <w:sz w:val="24"/>
                <w:szCs w:val="24"/>
              </w:rPr>
            </w:pPr>
          </w:p>
          <w:p w14:paraId="6A9AAC91" w14:textId="77777777" w:rsidR="00990078" w:rsidRPr="00990078" w:rsidRDefault="00990078" w:rsidP="00BE0EA1">
            <w:pPr>
              <w:rPr>
                <w:rFonts w:ascii="Garamond" w:hAnsi="Garamond"/>
                <w:sz w:val="24"/>
                <w:szCs w:val="24"/>
              </w:rPr>
            </w:pPr>
            <w:r w:rsidRPr="00990078">
              <w:rPr>
                <w:rFonts w:ascii="Garamond" w:hAnsi="Garamond"/>
                <w:sz w:val="24"/>
                <w:szCs w:val="24"/>
              </w:rPr>
              <w:t>The dependent variable is the rate and frequency of insurance claim denials. Improvements would be reflected as fewer denied claims, cleaner submissions, and reduced revenue loss.</w:t>
            </w:r>
          </w:p>
          <w:p w14:paraId="4ADB233F" w14:textId="77777777" w:rsidR="00990078" w:rsidRPr="00990078" w:rsidRDefault="00990078" w:rsidP="00BE0EA1">
            <w:pPr>
              <w:rPr>
                <w:rFonts w:ascii="Garamond" w:hAnsi="Garamond"/>
                <w:sz w:val="24"/>
                <w:szCs w:val="24"/>
              </w:rPr>
            </w:pPr>
          </w:p>
          <w:p w14:paraId="53E4094B" w14:textId="77777777" w:rsidR="00990078" w:rsidRPr="00990078" w:rsidRDefault="00990078" w:rsidP="00BE0EA1">
            <w:pPr>
              <w:rPr>
                <w:rFonts w:ascii="Garamond" w:hAnsi="Garamond"/>
                <w:sz w:val="24"/>
                <w:szCs w:val="24"/>
              </w:rPr>
            </w:pPr>
          </w:p>
          <w:p w14:paraId="6E45612E" w14:textId="77777777" w:rsidR="00990078" w:rsidRPr="00990078" w:rsidRDefault="00990078" w:rsidP="00BE0EA1">
            <w:pPr>
              <w:rPr>
                <w:rFonts w:ascii="Garamond" w:hAnsi="Garamond"/>
                <w:sz w:val="24"/>
                <w:szCs w:val="24"/>
              </w:rPr>
            </w:pPr>
          </w:p>
          <w:p w14:paraId="76AE00DE" w14:textId="77777777" w:rsidR="00990078" w:rsidRPr="00990078" w:rsidRDefault="00990078" w:rsidP="00BE0EA1">
            <w:pPr>
              <w:rPr>
                <w:rFonts w:ascii="Garamond" w:hAnsi="Garamond"/>
                <w:sz w:val="24"/>
                <w:szCs w:val="24"/>
              </w:rPr>
            </w:pPr>
          </w:p>
        </w:tc>
        <w:tc>
          <w:tcPr>
            <w:tcW w:w="556" w:type="pct"/>
          </w:tcPr>
          <w:p w14:paraId="0C6438DE"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article centers on understanding and addressing the root causes of healthcare claim denials. It emphasizes the </w:t>
            </w:r>
            <w:r w:rsidRPr="00990078">
              <w:rPr>
                <w:rFonts w:ascii="Garamond" w:hAnsi="Garamond"/>
                <w:sz w:val="24"/>
                <w:szCs w:val="24"/>
              </w:rPr>
              <w:lastRenderedPageBreak/>
              <w:t>role of structured processes—such as checklists, standardized documentation, and proactive review systems—in reducing denials and improving revenue cycle efficiency.</w:t>
            </w:r>
          </w:p>
          <w:p w14:paraId="7BE645A2" w14:textId="77777777" w:rsidR="00990078" w:rsidRPr="00990078" w:rsidRDefault="00990078" w:rsidP="00BE0EA1">
            <w:pPr>
              <w:rPr>
                <w:rFonts w:ascii="Garamond" w:hAnsi="Garamond"/>
                <w:sz w:val="24"/>
                <w:szCs w:val="24"/>
              </w:rPr>
            </w:pPr>
          </w:p>
        </w:tc>
        <w:tc>
          <w:tcPr>
            <w:tcW w:w="556" w:type="pct"/>
          </w:tcPr>
          <w:p w14:paraId="4C0A3F67"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article identifies that most claim denials result from preventable issues such as missing documentation, coding errors, </w:t>
            </w:r>
            <w:r w:rsidRPr="00990078">
              <w:rPr>
                <w:rFonts w:ascii="Garamond" w:hAnsi="Garamond"/>
                <w:sz w:val="24"/>
                <w:szCs w:val="24"/>
              </w:rPr>
              <w:lastRenderedPageBreak/>
              <w:t>eligibility verification problems, and lack of prior authorization. It highlights that organizations that adopt structured workflows, including checklists for documentation and billing steps, see fewer denials, faster reimbursement, and better overall financial performance. The analysis also stresses the importa</w:t>
            </w:r>
            <w:r w:rsidRPr="00990078">
              <w:rPr>
                <w:rFonts w:ascii="Garamond" w:hAnsi="Garamond"/>
                <w:sz w:val="24"/>
                <w:szCs w:val="24"/>
              </w:rPr>
              <w:lastRenderedPageBreak/>
              <w:t>nce of educating staff and engaging leadership to sustain these improvements.</w:t>
            </w:r>
          </w:p>
          <w:p w14:paraId="402F2D75" w14:textId="77777777" w:rsidR="00990078" w:rsidRPr="00990078" w:rsidRDefault="00990078" w:rsidP="00BE0EA1">
            <w:pPr>
              <w:rPr>
                <w:rFonts w:ascii="Garamond" w:hAnsi="Garamond"/>
                <w:sz w:val="24"/>
                <w:szCs w:val="24"/>
              </w:rPr>
            </w:pPr>
          </w:p>
        </w:tc>
        <w:tc>
          <w:tcPr>
            <w:tcW w:w="556" w:type="pct"/>
          </w:tcPr>
          <w:p w14:paraId="6CEFAF94"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When compared with broader checklist research (e.g., Treadwell et al. 2014; Semel et al. 2010), this article shares the finding </w:t>
            </w:r>
            <w:r w:rsidRPr="00990078">
              <w:rPr>
                <w:rFonts w:ascii="Garamond" w:hAnsi="Garamond"/>
                <w:sz w:val="24"/>
                <w:szCs w:val="24"/>
              </w:rPr>
              <w:lastRenderedPageBreak/>
              <w:t>that standardization through checklists reduces errors and improves efficiency. Just as surgical safety checklists prevent complications, denial-prevention checklists help avoid revenue losses from preventable mistakes. Across studies, the shared theme is that checklists work best when combined with staff training, leadershi</w:t>
            </w:r>
            <w:r w:rsidRPr="00990078">
              <w:rPr>
                <w:rFonts w:ascii="Garamond" w:hAnsi="Garamond"/>
                <w:sz w:val="24"/>
                <w:szCs w:val="24"/>
              </w:rPr>
              <w:lastRenderedPageBreak/>
              <w:t>p support, and integration into routine workflows.</w:t>
            </w:r>
          </w:p>
          <w:p w14:paraId="422FA4F2" w14:textId="77777777" w:rsidR="00990078" w:rsidRPr="00990078" w:rsidRDefault="00990078" w:rsidP="00BE0EA1">
            <w:pPr>
              <w:rPr>
                <w:rFonts w:ascii="Garamond" w:hAnsi="Garamond"/>
                <w:sz w:val="24"/>
                <w:szCs w:val="24"/>
              </w:rPr>
            </w:pPr>
          </w:p>
        </w:tc>
        <w:tc>
          <w:tcPr>
            <w:tcW w:w="556" w:type="pct"/>
          </w:tcPr>
          <w:p w14:paraId="38D7AC36"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The article does not conduct a formal cost-effectiveness study, but it emphasizes the financial burden of claim denials. Denials increase </w:t>
            </w:r>
            <w:r w:rsidRPr="00990078">
              <w:rPr>
                <w:rFonts w:ascii="Garamond" w:hAnsi="Garamond"/>
                <w:sz w:val="24"/>
                <w:szCs w:val="24"/>
              </w:rPr>
              <w:lastRenderedPageBreak/>
              <w:t>administrative workload, delay reimbursement, and can ultimately result in lost revenue when claims are not corrected and resubmitted on time. By highlighting the costs of rework, delayed payments, and potential write-offs, the article frames denial prevention strategies (including checklists) as a way to safeguard revenue and reduce unneces</w:t>
            </w:r>
            <w:r w:rsidRPr="00990078">
              <w:rPr>
                <w:rFonts w:ascii="Garamond" w:hAnsi="Garamond"/>
                <w:sz w:val="24"/>
                <w:szCs w:val="24"/>
              </w:rPr>
              <w:lastRenderedPageBreak/>
              <w:t>sary administrative expense.</w:t>
            </w:r>
          </w:p>
          <w:p w14:paraId="44F6545B" w14:textId="77777777" w:rsidR="00990078" w:rsidRPr="00990078" w:rsidRDefault="00990078" w:rsidP="00BE0EA1">
            <w:pPr>
              <w:rPr>
                <w:rFonts w:ascii="Garamond" w:hAnsi="Garamond"/>
                <w:sz w:val="24"/>
                <w:szCs w:val="24"/>
              </w:rPr>
            </w:pPr>
            <w:r w:rsidRPr="00990078">
              <w:rPr>
                <w:rFonts w:ascii="Garamond" w:hAnsi="Garamond"/>
                <w:sz w:val="24"/>
                <w:szCs w:val="24"/>
              </w:rPr>
              <w:t xml:space="preserve">The core of the article is focused on claim denials. It identifies common causes (missing documentation, incorrect coding, prior authorization failures, eligibility issues) and explains that many are preventable with structured processes. It recommends using denial-prevention checklists to ensure </w:t>
            </w:r>
            <w:r w:rsidRPr="00990078">
              <w:rPr>
                <w:rFonts w:ascii="Garamond" w:hAnsi="Garamond"/>
                <w:sz w:val="24"/>
                <w:szCs w:val="24"/>
              </w:rPr>
              <w:lastRenderedPageBreak/>
              <w:t>each claim meets payer requirements before submission. The article stresses that when organizations adopt these standardized workflows, they see measurable reductions in denials, faster turnaround on payments, and improved overall revenue cycle performance.</w:t>
            </w:r>
          </w:p>
          <w:p w14:paraId="390EFE80" w14:textId="77777777" w:rsidR="00990078" w:rsidRPr="00990078" w:rsidRDefault="00990078" w:rsidP="00BE0EA1">
            <w:pPr>
              <w:rPr>
                <w:rFonts w:ascii="Garamond" w:hAnsi="Garamond"/>
                <w:sz w:val="24"/>
                <w:szCs w:val="24"/>
              </w:rPr>
            </w:pPr>
          </w:p>
        </w:tc>
        <w:tc>
          <w:tcPr>
            <w:tcW w:w="556" w:type="pct"/>
          </w:tcPr>
          <w:p w14:paraId="0F464D5E" w14:textId="77777777" w:rsidR="00990078" w:rsidRPr="00990078" w:rsidRDefault="00990078" w:rsidP="00BE0EA1">
            <w:pPr>
              <w:rPr>
                <w:rFonts w:ascii="Garamond" w:hAnsi="Garamond"/>
                <w:sz w:val="24"/>
                <w:szCs w:val="24"/>
              </w:rPr>
            </w:pPr>
            <w:r w:rsidRPr="00990078">
              <w:rPr>
                <w:rFonts w:ascii="Garamond" w:hAnsi="Garamond"/>
                <w:sz w:val="24"/>
                <w:szCs w:val="24"/>
              </w:rPr>
              <w:lastRenderedPageBreak/>
              <w:t xml:space="preserve">This article was a narrative review and applied analysis rather than an empirical research study, which limits its ability to provide </w:t>
            </w:r>
            <w:r w:rsidRPr="00990078">
              <w:rPr>
                <w:rFonts w:ascii="Garamond" w:hAnsi="Garamond"/>
                <w:sz w:val="24"/>
                <w:szCs w:val="24"/>
              </w:rPr>
              <w:lastRenderedPageBreak/>
              <w:t>measurable outcomes or statistical validation of the proposed denial-prevention strategies. The recommendations were based on industry knowledge and case examples, which may not represent all healthcare settings or payer environments. Because the article did not involve primary data collection, it cannot confirm the effective</w:t>
            </w:r>
            <w:r w:rsidRPr="00990078">
              <w:rPr>
                <w:rFonts w:ascii="Garamond" w:hAnsi="Garamond"/>
                <w:sz w:val="24"/>
                <w:szCs w:val="24"/>
              </w:rPr>
              <w:lastRenderedPageBreak/>
              <w:t>ness of checklists or structured workflows beyond anecdotal or reported experiences. In addition, the general scope makes it less specific to individual clinical contexts, reducing its applicability for organizations seeking tailored solutions.</w:t>
            </w:r>
          </w:p>
          <w:p w14:paraId="1712D2F6" w14:textId="77777777" w:rsidR="00990078" w:rsidRPr="00990078" w:rsidRDefault="00990078" w:rsidP="00BE0EA1">
            <w:pPr>
              <w:rPr>
                <w:rFonts w:ascii="Garamond" w:hAnsi="Garamond"/>
                <w:sz w:val="24"/>
                <w:szCs w:val="24"/>
              </w:rPr>
            </w:pPr>
          </w:p>
        </w:tc>
      </w:tr>
    </w:tbl>
    <w:p w14:paraId="0A95A8AB" w14:textId="77777777" w:rsidR="00990078" w:rsidRPr="00485346" w:rsidRDefault="00990078" w:rsidP="00990078">
      <w:r>
        <w:lastRenderedPageBreak/>
        <w:tab/>
      </w:r>
    </w:p>
    <w:tbl>
      <w:tblPr>
        <w:tblStyle w:val="TableGrid"/>
        <w:tblW w:w="5000" w:type="pct"/>
        <w:tblLayout w:type="fixed"/>
        <w:tblLook w:val="04A0" w:firstRow="1" w:lastRow="0" w:firstColumn="1" w:lastColumn="0" w:noHBand="0" w:noVBand="1"/>
      </w:tblPr>
      <w:tblGrid>
        <w:gridCol w:w="1037"/>
        <w:gridCol w:w="1039"/>
        <w:gridCol w:w="1040"/>
        <w:gridCol w:w="1040"/>
        <w:gridCol w:w="1040"/>
        <w:gridCol w:w="1040"/>
        <w:gridCol w:w="1040"/>
        <w:gridCol w:w="1040"/>
        <w:gridCol w:w="1034"/>
      </w:tblGrid>
      <w:tr w:rsidR="00226190" w:rsidRPr="00226190" w14:paraId="3E366BAE" w14:textId="77777777" w:rsidTr="00226190">
        <w:tc>
          <w:tcPr>
            <w:tcW w:w="555" w:type="pct"/>
            <w:shd w:val="clear" w:color="auto" w:fill="E8E8E8" w:themeFill="background2"/>
          </w:tcPr>
          <w:p w14:paraId="79A4B17E" w14:textId="77777777" w:rsidR="00226190" w:rsidRPr="00226190" w:rsidRDefault="00226190" w:rsidP="00BE0EA1">
            <w:pPr>
              <w:rPr>
                <w:rFonts w:ascii="Garamond" w:hAnsi="Garamond"/>
                <w:b/>
                <w:bCs/>
                <w:sz w:val="24"/>
                <w:szCs w:val="24"/>
              </w:rPr>
            </w:pPr>
            <w:r w:rsidRPr="00226190">
              <w:rPr>
                <w:rFonts w:ascii="Garamond" w:hAnsi="Garamond"/>
                <w:b/>
                <w:bCs/>
                <w:sz w:val="24"/>
                <w:szCs w:val="24"/>
              </w:rPr>
              <w:t xml:space="preserve">APA 7 Reference </w:t>
            </w:r>
          </w:p>
        </w:tc>
        <w:tc>
          <w:tcPr>
            <w:tcW w:w="556" w:type="pct"/>
            <w:shd w:val="clear" w:color="auto" w:fill="E8E8E8" w:themeFill="background2"/>
          </w:tcPr>
          <w:p w14:paraId="3E3A3246" w14:textId="77777777" w:rsidR="00226190" w:rsidRPr="00226190" w:rsidRDefault="00226190" w:rsidP="00BE0EA1">
            <w:pPr>
              <w:rPr>
                <w:rFonts w:ascii="Garamond" w:hAnsi="Garamond"/>
                <w:b/>
                <w:bCs/>
                <w:sz w:val="24"/>
                <w:szCs w:val="24"/>
              </w:rPr>
            </w:pPr>
            <w:r w:rsidRPr="00226190">
              <w:rPr>
                <w:rFonts w:ascii="Garamond" w:hAnsi="Garamond"/>
                <w:b/>
                <w:bCs/>
                <w:sz w:val="24"/>
                <w:szCs w:val="24"/>
              </w:rPr>
              <w:t>Population</w:t>
            </w:r>
          </w:p>
        </w:tc>
        <w:tc>
          <w:tcPr>
            <w:tcW w:w="556" w:type="pct"/>
            <w:shd w:val="clear" w:color="auto" w:fill="E8E8E8" w:themeFill="background2"/>
          </w:tcPr>
          <w:p w14:paraId="59A778E0" w14:textId="77777777" w:rsidR="00226190" w:rsidRPr="00226190" w:rsidRDefault="00226190" w:rsidP="00BE0EA1">
            <w:pPr>
              <w:rPr>
                <w:rFonts w:ascii="Garamond" w:hAnsi="Garamond"/>
                <w:b/>
                <w:bCs/>
                <w:sz w:val="24"/>
                <w:szCs w:val="24"/>
              </w:rPr>
            </w:pPr>
            <w:r w:rsidRPr="00226190">
              <w:rPr>
                <w:rFonts w:ascii="Garamond" w:hAnsi="Garamond"/>
                <w:b/>
                <w:bCs/>
                <w:sz w:val="24"/>
                <w:szCs w:val="24"/>
              </w:rPr>
              <w:t xml:space="preserve">Methodology  </w:t>
            </w:r>
          </w:p>
        </w:tc>
        <w:tc>
          <w:tcPr>
            <w:tcW w:w="556" w:type="pct"/>
            <w:shd w:val="clear" w:color="auto" w:fill="E8E8E8" w:themeFill="background2"/>
          </w:tcPr>
          <w:p w14:paraId="08D5143A" w14:textId="77777777" w:rsidR="00226190" w:rsidRPr="00226190" w:rsidRDefault="00226190" w:rsidP="00BE0EA1">
            <w:pPr>
              <w:rPr>
                <w:rFonts w:ascii="Garamond" w:hAnsi="Garamond"/>
                <w:b/>
                <w:bCs/>
                <w:sz w:val="24"/>
                <w:szCs w:val="24"/>
              </w:rPr>
            </w:pPr>
            <w:r w:rsidRPr="00226190">
              <w:rPr>
                <w:rFonts w:ascii="Garamond" w:hAnsi="Garamond"/>
                <w:b/>
                <w:bCs/>
                <w:sz w:val="24"/>
                <w:szCs w:val="24"/>
              </w:rPr>
              <w:t xml:space="preserve">Dependent Variable/Independent </w:t>
            </w:r>
            <w:r w:rsidRPr="00226190">
              <w:rPr>
                <w:rFonts w:ascii="Garamond" w:hAnsi="Garamond"/>
                <w:b/>
                <w:bCs/>
                <w:sz w:val="24"/>
                <w:szCs w:val="24"/>
              </w:rPr>
              <w:lastRenderedPageBreak/>
              <w:t>Variables</w:t>
            </w:r>
          </w:p>
        </w:tc>
        <w:tc>
          <w:tcPr>
            <w:tcW w:w="556" w:type="pct"/>
            <w:shd w:val="clear" w:color="auto" w:fill="E8E8E8" w:themeFill="background2"/>
          </w:tcPr>
          <w:p w14:paraId="7175A94B" w14:textId="77777777" w:rsidR="00226190" w:rsidRPr="00226190" w:rsidRDefault="00226190" w:rsidP="00BE0EA1">
            <w:pPr>
              <w:rPr>
                <w:rFonts w:ascii="Garamond" w:hAnsi="Garamond"/>
                <w:b/>
                <w:bCs/>
                <w:sz w:val="24"/>
                <w:szCs w:val="24"/>
              </w:rPr>
            </w:pPr>
            <w:r w:rsidRPr="00226190">
              <w:rPr>
                <w:rFonts w:ascii="Garamond" w:hAnsi="Garamond"/>
                <w:b/>
                <w:bCs/>
                <w:sz w:val="24"/>
                <w:szCs w:val="24"/>
              </w:rPr>
              <w:lastRenderedPageBreak/>
              <w:t>Topic/ Theme</w:t>
            </w:r>
          </w:p>
        </w:tc>
        <w:tc>
          <w:tcPr>
            <w:tcW w:w="556" w:type="pct"/>
            <w:shd w:val="clear" w:color="auto" w:fill="E8E8E8" w:themeFill="background2"/>
          </w:tcPr>
          <w:p w14:paraId="49EC933D" w14:textId="77777777" w:rsidR="00226190" w:rsidRPr="00226190" w:rsidRDefault="00226190" w:rsidP="00BE0EA1">
            <w:pPr>
              <w:rPr>
                <w:rFonts w:ascii="Garamond" w:hAnsi="Garamond"/>
                <w:b/>
                <w:bCs/>
                <w:sz w:val="24"/>
                <w:szCs w:val="24"/>
              </w:rPr>
            </w:pPr>
            <w:r w:rsidRPr="00226190">
              <w:rPr>
                <w:rFonts w:ascii="Garamond" w:hAnsi="Garamond"/>
                <w:b/>
                <w:bCs/>
                <w:sz w:val="24"/>
                <w:szCs w:val="24"/>
              </w:rPr>
              <w:t xml:space="preserve">Key Findings </w:t>
            </w:r>
          </w:p>
        </w:tc>
        <w:tc>
          <w:tcPr>
            <w:tcW w:w="556" w:type="pct"/>
            <w:shd w:val="clear" w:color="auto" w:fill="E8E8E8" w:themeFill="background2"/>
          </w:tcPr>
          <w:p w14:paraId="13D961B5" w14:textId="77777777" w:rsidR="00226190" w:rsidRPr="00226190" w:rsidRDefault="00226190" w:rsidP="00BE0EA1">
            <w:pPr>
              <w:rPr>
                <w:rFonts w:ascii="Garamond" w:hAnsi="Garamond"/>
                <w:b/>
                <w:bCs/>
                <w:sz w:val="24"/>
                <w:szCs w:val="24"/>
              </w:rPr>
            </w:pPr>
            <w:r w:rsidRPr="00226190">
              <w:rPr>
                <w:rFonts w:ascii="Garamond" w:hAnsi="Garamond"/>
                <w:b/>
                <w:bCs/>
                <w:sz w:val="24"/>
                <w:szCs w:val="24"/>
              </w:rPr>
              <w:t xml:space="preserve">Shared Findings </w:t>
            </w:r>
          </w:p>
        </w:tc>
        <w:tc>
          <w:tcPr>
            <w:tcW w:w="556" w:type="pct"/>
            <w:shd w:val="clear" w:color="auto" w:fill="E8E8E8" w:themeFill="background2"/>
          </w:tcPr>
          <w:p w14:paraId="1586085D" w14:textId="77777777" w:rsidR="00226190" w:rsidRPr="00226190" w:rsidRDefault="00226190" w:rsidP="00BE0EA1">
            <w:pPr>
              <w:rPr>
                <w:rFonts w:ascii="Garamond" w:hAnsi="Garamond"/>
                <w:b/>
                <w:bCs/>
                <w:sz w:val="24"/>
                <w:szCs w:val="24"/>
              </w:rPr>
            </w:pPr>
            <w:r w:rsidRPr="00226190">
              <w:rPr>
                <w:rFonts w:ascii="Garamond" w:hAnsi="Garamond"/>
                <w:b/>
                <w:bCs/>
                <w:sz w:val="24"/>
                <w:szCs w:val="24"/>
              </w:rPr>
              <w:t>Cost Savings</w:t>
            </w:r>
          </w:p>
        </w:tc>
        <w:tc>
          <w:tcPr>
            <w:tcW w:w="556" w:type="pct"/>
            <w:shd w:val="clear" w:color="auto" w:fill="E8E8E8" w:themeFill="background2"/>
          </w:tcPr>
          <w:p w14:paraId="51FBA6AF" w14:textId="77777777" w:rsidR="00226190" w:rsidRPr="00226190" w:rsidRDefault="00226190" w:rsidP="00BE0EA1">
            <w:pPr>
              <w:rPr>
                <w:rFonts w:ascii="Garamond" w:hAnsi="Garamond"/>
                <w:b/>
                <w:bCs/>
                <w:sz w:val="24"/>
                <w:szCs w:val="24"/>
              </w:rPr>
            </w:pPr>
            <w:r w:rsidRPr="00226190">
              <w:rPr>
                <w:rFonts w:ascii="Garamond" w:hAnsi="Garamond"/>
                <w:b/>
                <w:bCs/>
                <w:sz w:val="24"/>
                <w:szCs w:val="24"/>
              </w:rPr>
              <w:t>Limitations</w:t>
            </w:r>
          </w:p>
        </w:tc>
      </w:tr>
      <w:tr w:rsidR="00226190" w:rsidRPr="00226190" w14:paraId="1836F620" w14:textId="77777777" w:rsidTr="00226190">
        <w:tc>
          <w:tcPr>
            <w:tcW w:w="5000" w:type="pct"/>
            <w:gridSpan w:val="9"/>
            <w:shd w:val="clear" w:color="auto" w:fill="ADADAD" w:themeFill="background2" w:themeFillShade="BF"/>
          </w:tcPr>
          <w:p w14:paraId="48CDBF76" w14:textId="77777777" w:rsidR="00226190" w:rsidRPr="00226190" w:rsidRDefault="00226190" w:rsidP="00BE0EA1">
            <w:pPr>
              <w:rPr>
                <w:rFonts w:ascii="Garamond" w:hAnsi="Garamond"/>
                <w:b/>
                <w:bCs/>
                <w:sz w:val="24"/>
                <w:szCs w:val="24"/>
              </w:rPr>
            </w:pPr>
            <w:r w:rsidRPr="00226190">
              <w:rPr>
                <w:rFonts w:ascii="Garamond" w:hAnsi="Garamond"/>
                <w:b/>
                <w:bCs/>
                <w:sz w:val="24"/>
                <w:szCs w:val="24"/>
              </w:rPr>
              <w:t>Checklist Design and Implementation: How checklists are created, used, and evaluated in clinical settings.</w:t>
            </w:r>
          </w:p>
        </w:tc>
      </w:tr>
      <w:tr w:rsidR="00226190" w:rsidRPr="00226190" w14:paraId="07D0A4C9" w14:textId="77777777" w:rsidTr="00226190">
        <w:tc>
          <w:tcPr>
            <w:tcW w:w="555" w:type="pct"/>
          </w:tcPr>
          <w:p w14:paraId="0F8CDE74" w14:textId="77777777" w:rsidR="00226190" w:rsidRPr="00226190" w:rsidRDefault="00226190" w:rsidP="00BE0EA1">
            <w:pPr>
              <w:rPr>
                <w:rFonts w:ascii="Garamond" w:hAnsi="Garamond"/>
                <w:sz w:val="24"/>
                <w:szCs w:val="24"/>
              </w:rPr>
            </w:pPr>
            <w:r w:rsidRPr="00226190">
              <w:rPr>
                <w:rFonts w:ascii="Garamond" w:hAnsi="Garamond"/>
                <w:sz w:val="24"/>
                <w:szCs w:val="24"/>
              </w:rPr>
              <w:t>Kwong, E., Cole, A., Byrd, E., Sippo, D., Yu, F., Adapa, K., Shea, C. M., Moore, C., Das, S., &amp; Mazur, L. (2025). Design approaches for developing quality checklists in healthcare organizations: A scoping review. </w:t>
            </w:r>
            <w:r w:rsidRPr="00226190">
              <w:rPr>
                <w:rFonts w:ascii="Garamond" w:hAnsi="Garamond"/>
                <w:i/>
                <w:iCs/>
                <w:sz w:val="24"/>
                <w:szCs w:val="24"/>
              </w:rPr>
              <w:t>PLOS Digital Health, 4</w:t>
            </w:r>
            <w:r w:rsidRPr="00226190">
              <w:rPr>
                <w:rFonts w:ascii="Garamond" w:hAnsi="Garamond"/>
                <w:sz w:val="24"/>
                <w:szCs w:val="24"/>
              </w:rPr>
              <w:t>(9), e0001015. https://doi.org/10.1371/journal</w:t>
            </w:r>
            <w:r w:rsidRPr="00226190">
              <w:rPr>
                <w:rFonts w:ascii="Garamond" w:hAnsi="Garamond"/>
                <w:sz w:val="24"/>
                <w:szCs w:val="24"/>
              </w:rPr>
              <w:lastRenderedPageBreak/>
              <w:t>.pdig.0001015</w:t>
            </w:r>
          </w:p>
        </w:tc>
        <w:tc>
          <w:tcPr>
            <w:tcW w:w="556" w:type="pct"/>
          </w:tcPr>
          <w:p w14:paraId="2A3EBDCA"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This study is a scoping review and does not involve a direct patient population. Instead, it analyzes 29 peer-reviewed studies that describe the design and development of quality checklists used in healthcare organizations. These studies span various healthcare settings and disciplines, focusing </w:t>
            </w:r>
            <w:r w:rsidRPr="00226190">
              <w:rPr>
                <w:rFonts w:ascii="Garamond" w:hAnsi="Garamond"/>
                <w:sz w:val="24"/>
                <w:szCs w:val="24"/>
              </w:rPr>
              <w:lastRenderedPageBreak/>
              <w:t xml:space="preserve">on how checklists are created and implemented, particularly regarding stakeholder engagement and design methods. </w:t>
            </w:r>
          </w:p>
          <w:p w14:paraId="4403CA52" w14:textId="77777777" w:rsidR="00226190" w:rsidRPr="00226190" w:rsidRDefault="00226190" w:rsidP="00BE0EA1">
            <w:pPr>
              <w:rPr>
                <w:rFonts w:ascii="Garamond" w:hAnsi="Garamond"/>
                <w:sz w:val="24"/>
                <w:szCs w:val="24"/>
              </w:rPr>
            </w:pPr>
            <w:r w:rsidRPr="00226190">
              <w:rPr>
                <w:rFonts w:ascii="Garamond" w:hAnsi="Garamond"/>
                <w:sz w:val="24"/>
                <w:szCs w:val="24"/>
              </w:rPr>
              <w:t>.</w:t>
            </w:r>
          </w:p>
          <w:p w14:paraId="607580C2" w14:textId="77777777" w:rsidR="00226190" w:rsidRPr="00226190" w:rsidRDefault="00226190" w:rsidP="00BE0EA1">
            <w:pPr>
              <w:rPr>
                <w:rFonts w:ascii="Garamond" w:hAnsi="Garamond"/>
                <w:sz w:val="24"/>
                <w:szCs w:val="24"/>
              </w:rPr>
            </w:pPr>
          </w:p>
        </w:tc>
        <w:tc>
          <w:tcPr>
            <w:tcW w:w="556" w:type="pct"/>
          </w:tcPr>
          <w:p w14:paraId="16D96B92"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The authors conducted a scoping review following the PRISMA-</w:t>
            </w:r>
            <w:proofErr w:type="spellStart"/>
            <w:r w:rsidRPr="00226190">
              <w:rPr>
                <w:rFonts w:ascii="Garamond" w:hAnsi="Garamond"/>
                <w:sz w:val="24"/>
                <w:szCs w:val="24"/>
              </w:rPr>
              <w:t>ScR</w:t>
            </w:r>
            <w:proofErr w:type="spellEnd"/>
            <w:r w:rsidRPr="00226190">
              <w:rPr>
                <w:rFonts w:ascii="Garamond" w:hAnsi="Garamond"/>
                <w:sz w:val="24"/>
                <w:szCs w:val="24"/>
              </w:rPr>
              <w:t xml:space="preserve"> (Preferred Reporting Items for Systematic Reviews and Meta-Analyses Extension for Scoping Reviews) guidelines. They searched seven databases—PubMed, APA </w:t>
            </w:r>
            <w:proofErr w:type="spellStart"/>
            <w:r w:rsidRPr="00226190">
              <w:rPr>
                <w:rFonts w:ascii="Garamond" w:hAnsi="Garamond"/>
                <w:sz w:val="24"/>
                <w:szCs w:val="24"/>
              </w:rPr>
              <w:t>PsycInfo</w:t>
            </w:r>
            <w:proofErr w:type="spellEnd"/>
            <w:r w:rsidRPr="00226190">
              <w:rPr>
                <w:rFonts w:ascii="Garamond" w:hAnsi="Garamond"/>
                <w:sz w:val="24"/>
                <w:szCs w:val="24"/>
              </w:rPr>
              <w:t xml:space="preserve">, CINAHL, Embase, Scopus, ACM Digital Library, </w:t>
            </w:r>
            <w:r w:rsidRPr="00226190">
              <w:rPr>
                <w:rFonts w:ascii="Garamond" w:hAnsi="Garamond"/>
                <w:sz w:val="24"/>
                <w:szCs w:val="24"/>
              </w:rPr>
              <w:lastRenderedPageBreak/>
              <w:t>and IEEE Xplore—using terms related to checklist design and user-centered approaches. From this search, 29 peer-reviewed studies were selected that described the development of quality checklists in healthcare settings. The researchers extracted data on design methods and stakeholder engagement strategie</w:t>
            </w:r>
            <w:r w:rsidRPr="00226190">
              <w:rPr>
                <w:rFonts w:ascii="Garamond" w:hAnsi="Garamond"/>
                <w:sz w:val="24"/>
                <w:szCs w:val="24"/>
              </w:rPr>
              <w:lastRenderedPageBreak/>
              <w:t>s used in each study. They then categorized the level of stakeholder involvement using the IAP2 Spectrum of Participation Framework and identified 23 distinct design methods, most of which were non-collaborative (e.g., interviews, surveys). The review aimed to highlight gaps in stakeholder empowerment and standard</w:t>
            </w:r>
            <w:r w:rsidRPr="00226190">
              <w:rPr>
                <w:rFonts w:ascii="Garamond" w:hAnsi="Garamond"/>
                <w:sz w:val="24"/>
                <w:szCs w:val="24"/>
              </w:rPr>
              <w:lastRenderedPageBreak/>
              <w:t>ization in checklist development across healthcare organizations.</w:t>
            </w:r>
          </w:p>
        </w:tc>
        <w:tc>
          <w:tcPr>
            <w:tcW w:w="556" w:type="pct"/>
          </w:tcPr>
          <w:p w14:paraId="2E007264" w14:textId="77777777" w:rsidR="00226190" w:rsidRPr="00226190" w:rsidRDefault="00226190" w:rsidP="00BE0EA1">
            <w:pPr>
              <w:rPr>
                <w:rFonts w:ascii="Garamond" w:hAnsi="Garamond"/>
                <w:b/>
                <w:bCs/>
                <w:sz w:val="24"/>
                <w:szCs w:val="24"/>
              </w:rPr>
            </w:pPr>
            <w:r w:rsidRPr="00226190">
              <w:rPr>
                <w:rFonts w:ascii="Garamond" w:hAnsi="Garamond"/>
                <w:b/>
                <w:bCs/>
                <w:sz w:val="24"/>
                <w:szCs w:val="24"/>
              </w:rPr>
              <w:lastRenderedPageBreak/>
              <w:t>Independent Variable</w:t>
            </w:r>
          </w:p>
          <w:p w14:paraId="62314290" w14:textId="77777777" w:rsidR="00226190" w:rsidRPr="00226190" w:rsidRDefault="00226190" w:rsidP="00BE0EA1">
            <w:pPr>
              <w:rPr>
                <w:rFonts w:ascii="Garamond" w:hAnsi="Garamond"/>
                <w:sz w:val="24"/>
                <w:szCs w:val="24"/>
              </w:rPr>
            </w:pPr>
            <w:r w:rsidRPr="00226190">
              <w:rPr>
                <w:rFonts w:ascii="Garamond" w:hAnsi="Garamond"/>
                <w:sz w:val="24"/>
                <w:szCs w:val="24"/>
              </w:rPr>
              <w:t>The independent variable is the design approach used to develop healthcare checklists. This includes the methods and frameworks applied during checklist creation, such as user-centered design, stakeholder engagement strategies, and collaborative versus non-</w:t>
            </w:r>
            <w:r w:rsidRPr="00226190">
              <w:rPr>
                <w:rFonts w:ascii="Garamond" w:hAnsi="Garamond"/>
                <w:sz w:val="24"/>
                <w:szCs w:val="24"/>
              </w:rPr>
              <w:lastRenderedPageBreak/>
              <w:t>collaborative techniques.</w:t>
            </w:r>
          </w:p>
          <w:p w14:paraId="16D37F28" w14:textId="77777777" w:rsidR="00226190" w:rsidRPr="00226190" w:rsidRDefault="00226190" w:rsidP="00BE0EA1">
            <w:pPr>
              <w:rPr>
                <w:rFonts w:ascii="Garamond" w:hAnsi="Garamond"/>
                <w:sz w:val="24"/>
                <w:szCs w:val="24"/>
              </w:rPr>
            </w:pPr>
          </w:p>
          <w:p w14:paraId="4AC1EA23" w14:textId="77777777" w:rsidR="00226190" w:rsidRPr="00226190" w:rsidRDefault="00226190" w:rsidP="00BE0EA1">
            <w:pPr>
              <w:rPr>
                <w:rFonts w:ascii="Garamond" w:hAnsi="Garamond"/>
                <w:sz w:val="24"/>
                <w:szCs w:val="24"/>
              </w:rPr>
            </w:pPr>
            <w:r w:rsidRPr="00226190">
              <w:rPr>
                <w:rFonts w:ascii="Garamond" w:hAnsi="Garamond"/>
                <w:b/>
                <w:bCs/>
                <w:sz w:val="24"/>
                <w:szCs w:val="24"/>
              </w:rPr>
              <w:t>Dependent Variables</w:t>
            </w:r>
          </w:p>
          <w:p w14:paraId="0C401AEF" w14:textId="77777777" w:rsidR="00226190" w:rsidRPr="00226190" w:rsidRDefault="00226190" w:rsidP="00BE0EA1">
            <w:pPr>
              <w:rPr>
                <w:rFonts w:ascii="Garamond" w:hAnsi="Garamond"/>
                <w:sz w:val="24"/>
                <w:szCs w:val="24"/>
              </w:rPr>
            </w:pPr>
            <w:r w:rsidRPr="00226190">
              <w:rPr>
                <w:rFonts w:ascii="Garamond" w:hAnsi="Garamond"/>
                <w:sz w:val="24"/>
                <w:szCs w:val="24"/>
              </w:rPr>
              <w:t>The dependent variables are the outcomes related to checklist quality and implementation success, including:</w:t>
            </w:r>
          </w:p>
          <w:p w14:paraId="1255EA9D" w14:textId="77777777" w:rsidR="00226190" w:rsidRPr="00226190" w:rsidRDefault="00226190" w:rsidP="00BE0EA1">
            <w:pPr>
              <w:rPr>
                <w:rFonts w:ascii="Garamond" w:hAnsi="Garamond"/>
                <w:sz w:val="24"/>
                <w:szCs w:val="24"/>
              </w:rPr>
            </w:pPr>
            <w:r w:rsidRPr="00226190">
              <w:rPr>
                <w:rFonts w:ascii="Garamond" w:hAnsi="Garamond"/>
                <w:sz w:val="24"/>
                <w:szCs w:val="24"/>
              </w:rPr>
              <w:t>Effectiveness of the checklist in improving workflow or safety</w:t>
            </w:r>
          </w:p>
          <w:p w14:paraId="05164DD3" w14:textId="77777777" w:rsidR="00226190" w:rsidRPr="00226190" w:rsidRDefault="00226190" w:rsidP="00BE0EA1">
            <w:pPr>
              <w:rPr>
                <w:rFonts w:ascii="Garamond" w:hAnsi="Garamond"/>
                <w:sz w:val="24"/>
                <w:szCs w:val="24"/>
              </w:rPr>
            </w:pPr>
          </w:p>
          <w:p w14:paraId="43B44163" w14:textId="77777777" w:rsidR="00226190" w:rsidRPr="00226190" w:rsidRDefault="00226190" w:rsidP="00BE0EA1">
            <w:pPr>
              <w:rPr>
                <w:rFonts w:ascii="Garamond" w:hAnsi="Garamond"/>
                <w:sz w:val="24"/>
                <w:szCs w:val="24"/>
              </w:rPr>
            </w:pPr>
            <w:r w:rsidRPr="00226190">
              <w:rPr>
                <w:rFonts w:ascii="Garamond" w:hAnsi="Garamond"/>
                <w:sz w:val="24"/>
                <w:szCs w:val="24"/>
              </w:rPr>
              <w:t>Level of stakeholder engagement</w:t>
            </w:r>
          </w:p>
          <w:p w14:paraId="753D5378" w14:textId="77777777" w:rsidR="00226190" w:rsidRPr="00226190" w:rsidRDefault="00226190" w:rsidP="00BE0EA1">
            <w:pPr>
              <w:rPr>
                <w:rFonts w:ascii="Garamond" w:hAnsi="Garamond"/>
                <w:sz w:val="24"/>
                <w:szCs w:val="24"/>
              </w:rPr>
            </w:pPr>
          </w:p>
          <w:p w14:paraId="4CB820FF" w14:textId="77777777" w:rsidR="00226190" w:rsidRPr="00226190" w:rsidRDefault="00226190" w:rsidP="00BE0EA1">
            <w:pPr>
              <w:rPr>
                <w:rFonts w:ascii="Garamond" w:hAnsi="Garamond"/>
                <w:sz w:val="24"/>
                <w:szCs w:val="24"/>
              </w:rPr>
            </w:pPr>
            <w:r w:rsidRPr="00226190">
              <w:rPr>
                <w:rFonts w:ascii="Garamond" w:hAnsi="Garamond"/>
                <w:sz w:val="24"/>
                <w:szCs w:val="24"/>
              </w:rPr>
              <w:t>Degree of standardization</w:t>
            </w:r>
          </w:p>
          <w:p w14:paraId="4ED6C0F6" w14:textId="77777777" w:rsidR="00226190" w:rsidRPr="00226190" w:rsidRDefault="00226190" w:rsidP="00BE0EA1">
            <w:pPr>
              <w:rPr>
                <w:rFonts w:ascii="Garamond" w:hAnsi="Garamond"/>
                <w:sz w:val="24"/>
                <w:szCs w:val="24"/>
              </w:rPr>
            </w:pPr>
          </w:p>
          <w:p w14:paraId="1FB56D8B" w14:textId="77777777" w:rsidR="00226190" w:rsidRPr="00226190" w:rsidRDefault="00226190" w:rsidP="00BE0EA1">
            <w:pPr>
              <w:rPr>
                <w:rFonts w:ascii="Garamond" w:hAnsi="Garamond"/>
                <w:sz w:val="24"/>
                <w:szCs w:val="24"/>
              </w:rPr>
            </w:pPr>
            <w:r w:rsidRPr="00226190">
              <w:rPr>
                <w:rFonts w:ascii="Garamond" w:hAnsi="Garamond"/>
                <w:sz w:val="24"/>
                <w:szCs w:val="24"/>
              </w:rPr>
              <w:t>Usability and adoption in healthcare settings</w:t>
            </w:r>
          </w:p>
          <w:p w14:paraId="0E382E9D" w14:textId="77777777" w:rsidR="00226190" w:rsidRPr="00226190" w:rsidRDefault="00226190" w:rsidP="00BE0EA1">
            <w:pPr>
              <w:rPr>
                <w:rFonts w:ascii="Garamond" w:hAnsi="Garamond"/>
                <w:sz w:val="24"/>
                <w:szCs w:val="24"/>
              </w:rPr>
            </w:pPr>
          </w:p>
        </w:tc>
        <w:tc>
          <w:tcPr>
            <w:tcW w:w="556" w:type="pct"/>
          </w:tcPr>
          <w:p w14:paraId="1C60EA98"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The central theme of the article is the design methodology and stakeholder engagement involved in creating quality checklists for healthcare organizations. It emphasizes the importance of structured, user-centered design approaches and collaborative development processes to ensure checklists are effective</w:t>
            </w:r>
            <w:r w:rsidRPr="00226190">
              <w:rPr>
                <w:rFonts w:ascii="Garamond" w:hAnsi="Garamond"/>
                <w:sz w:val="24"/>
                <w:szCs w:val="24"/>
              </w:rPr>
              <w:lastRenderedPageBreak/>
              <w:t>, usable, and integrated into clinical workflows.</w:t>
            </w:r>
          </w:p>
          <w:p w14:paraId="4D148D7A" w14:textId="77777777" w:rsidR="00226190" w:rsidRPr="00226190" w:rsidRDefault="00226190" w:rsidP="00BE0EA1">
            <w:pPr>
              <w:rPr>
                <w:rFonts w:ascii="Garamond" w:hAnsi="Garamond"/>
                <w:sz w:val="24"/>
                <w:szCs w:val="24"/>
              </w:rPr>
            </w:pPr>
          </w:p>
        </w:tc>
        <w:tc>
          <w:tcPr>
            <w:tcW w:w="556" w:type="pct"/>
          </w:tcPr>
          <w:p w14:paraId="28846D5E"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review identified 29 studies describing checklist development in healthcare, revealing that most used non-collaborative design methods such as interviews and surveys. Only a few incorporated co-design or participatory approaches. The authors found that stakeholder engagement was often limited, </w:t>
            </w:r>
            <w:r w:rsidRPr="00226190">
              <w:rPr>
                <w:rFonts w:ascii="Garamond" w:hAnsi="Garamond"/>
                <w:sz w:val="24"/>
                <w:szCs w:val="24"/>
              </w:rPr>
              <w:lastRenderedPageBreak/>
              <w:t xml:space="preserve">with most studies falling into lower levels of the IAP2 Spectrum of Participation (e.g., "inform" or "consult"). This lack of deep collaboration may hinder checklist adoption and effectiveness. The study also highlighted the absence of standardized design frameworks across the literature, suggesting a </w:t>
            </w:r>
            <w:r w:rsidRPr="00226190">
              <w:rPr>
                <w:rFonts w:ascii="Garamond" w:hAnsi="Garamond"/>
                <w:sz w:val="24"/>
                <w:szCs w:val="24"/>
              </w:rPr>
              <w:lastRenderedPageBreak/>
              <w:t>need for more consistent and inclusive development practices.</w:t>
            </w:r>
          </w:p>
        </w:tc>
        <w:tc>
          <w:tcPr>
            <w:tcW w:w="556" w:type="pct"/>
          </w:tcPr>
          <w:p w14:paraId="7B648623"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Consistent with other checklist literature, the study reinforces that structured design processes, especially those involving stakeholder input, are critical to successful implementation. Like other research showing that checklists improve safety and workflow when properly integrated, this review </w:t>
            </w:r>
            <w:r w:rsidRPr="00226190">
              <w:rPr>
                <w:rFonts w:ascii="Garamond" w:hAnsi="Garamond"/>
                <w:sz w:val="24"/>
                <w:szCs w:val="24"/>
              </w:rPr>
              <w:lastRenderedPageBreak/>
              <w:t>found that engagement and usability are key to checklist</w:t>
            </w:r>
          </w:p>
        </w:tc>
        <w:tc>
          <w:tcPr>
            <w:tcW w:w="556" w:type="pct"/>
          </w:tcPr>
          <w:p w14:paraId="5A7AE87F"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The article does not include a formal cost-effectiveness analysis or financial modeling. However, it suggests that poorly designed checklists, especially those lacking stakeholder engagement, can lead to inefficiencies, reduced adoption, and missed opportunities to improve care quality. In contrast, well-</w:t>
            </w:r>
            <w:r w:rsidRPr="00226190">
              <w:rPr>
                <w:rFonts w:ascii="Garamond" w:hAnsi="Garamond"/>
                <w:sz w:val="24"/>
                <w:szCs w:val="24"/>
              </w:rPr>
              <w:lastRenderedPageBreak/>
              <w:t>designed, user-centered checklists are more likely to be implemented successfully, which can indirectly contribute to cost savings by improving workflow, reducing errors, and enhancing adherence to clinical protocols.</w:t>
            </w:r>
          </w:p>
          <w:p w14:paraId="38362CAD" w14:textId="77777777" w:rsidR="00226190" w:rsidRPr="00226190" w:rsidRDefault="00226190" w:rsidP="00BE0EA1">
            <w:pPr>
              <w:rPr>
                <w:rFonts w:ascii="Garamond" w:hAnsi="Garamond"/>
                <w:sz w:val="24"/>
                <w:szCs w:val="24"/>
              </w:rPr>
            </w:pPr>
          </w:p>
        </w:tc>
        <w:tc>
          <w:tcPr>
            <w:tcW w:w="556" w:type="pct"/>
          </w:tcPr>
          <w:p w14:paraId="115CA8D7"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study is limited by its reliance on published literature, which may exclude innovative checklist design practices used internally by healthcare organizations. Most of the included studies used non-collaborative design approaches such as interviews and surveys, which may not fully reflect </w:t>
            </w:r>
            <w:r w:rsidRPr="00226190">
              <w:rPr>
                <w:rFonts w:ascii="Garamond" w:hAnsi="Garamond"/>
                <w:sz w:val="24"/>
                <w:szCs w:val="24"/>
              </w:rPr>
              <w:lastRenderedPageBreak/>
              <w:t>the complexity of real-world implementation. Additionally, the review found a lack of standardized frameworks for checklist development and minimal stakeholder empowerment, which limits generalizability and may affect the long-term sustainability of checklist use in healthcare settings.</w:t>
            </w:r>
          </w:p>
          <w:p w14:paraId="2AC5F83A" w14:textId="77777777" w:rsidR="00226190" w:rsidRPr="00226190" w:rsidRDefault="00226190" w:rsidP="00BE0EA1">
            <w:pPr>
              <w:rPr>
                <w:rFonts w:ascii="Garamond" w:hAnsi="Garamond"/>
                <w:sz w:val="24"/>
                <w:szCs w:val="24"/>
              </w:rPr>
            </w:pPr>
          </w:p>
        </w:tc>
      </w:tr>
      <w:tr w:rsidR="00226190" w:rsidRPr="00226190" w14:paraId="21D2B2AB" w14:textId="77777777" w:rsidTr="00226190">
        <w:tc>
          <w:tcPr>
            <w:tcW w:w="555" w:type="pct"/>
          </w:tcPr>
          <w:p w14:paraId="6A4E7315"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Bunting, J., &amp; de Klerk, M. (2022). Strategies to improve compliance with clinical nursing documentation guidelines in the acute hospital setting: A systematic review and analysis. </w:t>
            </w:r>
            <w:r w:rsidRPr="00226190">
              <w:rPr>
                <w:rFonts w:ascii="Garamond" w:hAnsi="Garamond"/>
                <w:i/>
                <w:iCs/>
                <w:sz w:val="24"/>
                <w:szCs w:val="24"/>
              </w:rPr>
              <w:t>SAGE Open Nursing, 8</w:t>
            </w:r>
            <w:r w:rsidRPr="00226190">
              <w:rPr>
                <w:rFonts w:ascii="Garamond" w:hAnsi="Garamond"/>
                <w:sz w:val="24"/>
                <w:szCs w:val="24"/>
              </w:rPr>
              <w:t>, 1–34. https://doi.org/10.1177/23779608221075165</w:t>
            </w:r>
          </w:p>
        </w:tc>
        <w:tc>
          <w:tcPr>
            <w:tcW w:w="556" w:type="pct"/>
          </w:tcPr>
          <w:p w14:paraId="5EA1D215" w14:textId="77777777" w:rsidR="00226190" w:rsidRPr="00226190" w:rsidRDefault="00226190" w:rsidP="00BE0EA1">
            <w:pPr>
              <w:rPr>
                <w:rFonts w:ascii="Garamond" w:hAnsi="Garamond"/>
                <w:sz w:val="24"/>
                <w:szCs w:val="24"/>
              </w:rPr>
            </w:pPr>
            <w:r w:rsidRPr="00226190">
              <w:rPr>
                <w:rFonts w:ascii="Garamond" w:hAnsi="Garamond"/>
                <w:sz w:val="24"/>
                <w:szCs w:val="24"/>
              </w:rPr>
              <w:t>The study reviewed 76 full-text articles, with 57 being before-and-after studies. Most studies were conducted in acute hospital settings, primarily in Western countries, and focused on clinical nursing staff responsible for documentation. The publishi</w:t>
            </w:r>
            <w:r w:rsidRPr="00226190">
              <w:rPr>
                <w:rFonts w:ascii="Garamond" w:hAnsi="Garamond"/>
                <w:sz w:val="24"/>
                <w:szCs w:val="24"/>
              </w:rPr>
              <w:lastRenderedPageBreak/>
              <w:t>ng dates of the studies ranged from 1991 to 2020, and the interventions targeted nurses working in inpatient care environments.</w:t>
            </w:r>
          </w:p>
        </w:tc>
        <w:tc>
          <w:tcPr>
            <w:tcW w:w="556" w:type="pct"/>
          </w:tcPr>
          <w:p w14:paraId="01054739"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The authors conducted a systematic review using the PRISMA framework to identify studies that evaluated interventions aimed at improving compliance with clinical nursing documentation guidelines. They searched multiple databases including CINAH</w:t>
            </w:r>
            <w:r w:rsidRPr="00226190">
              <w:rPr>
                <w:rFonts w:ascii="Garamond" w:hAnsi="Garamond"/>
                <w:sz w:val="24"/>
                <w:szCs w:val="24"/>
              </w:rPr>
              <w:lastRenderedPageBreak/>
              <w:t>L, MEDLINE, and PubMed, focusing on studies published between 1991 and 2020. After screening 1,276 records, they included 76 full-text articles in the final review. Of these, 57 were before-and-after studies. The interventions assessed included audits, checklists, education, electronic health record modifica</w:t>
            </w:r>
            <w:r w:rsidRPr="00226190">
              <w:rPr>
                <w:rFonts w:ascii="Garamond" w:hAnsi="Garamond"/>
                <w:sz w:val="24"/>
                <w:szCs w:val="24"/>
              </w:rPr>
              <w:lastRenderedPageBreak/>
              <w:t>tions, and feedback mechanisms. The authors extracted and analyzed data on intervention types, outcomes, and effectiveness, with a particular focus on documentation completeness, accuracy, and adherence to standards.</w:t>
            </w:r>
          </w:p>
        </w:tc>
        <w:tc>
          <w:tcPr>
            <w:tcW w:w="556" w:type="pct"/>
          </w:tcPr>
          <w:p w14:paraId="428A1625" w14:textId="77777777" w:rsidR="00226190" w:rsidRPr="00226190" w:rsidRDefault="00226190" w:rsidP="00BE0EA1">
            <w:pPr>
              <w:rPr>
                <w:rFonts w:ascii="Garamond" w:hAnsi="Garamond"/>
                <w:b/>
                <w:bCs/>
                <w:sz w:val="24"/>
                <w:szCs w:val="24"/>
              </w:rPr>
            </w:pPr>
            <w:r w:rsidRPr="00226190">
              <w:rPr>
                <w:rFonts w:ascii="Garamond" w:hAnsi="Garamond"/>
                <w:b/>
                <w:bCs/>
                <w:sz w:val="24"/>
                <w:szCs w:val="24"/>
              </w:rPr>
              <w:lastRenderedPageBreak/>
              <w:t>Independent Variable</w:t>
            </w:r>
          </w:p>
          <w:p w14:paraId="46806B60" w14:textId="77777777" w:rsidR="00226190" w:rsidRPr="00226190" w:rsidRDefault="00226190" w:rsidP="00BE0EA1">
            <w:pPr>
              <w:rPr>
                <w:rFonts w:ascii="Garamond" w:hAnsi="Garamond"/>
                <w:sz w:val="24"/>
                <w:szCs w:val="24"/>
              </w:rPr>
            </w:pPr>
            <w:r w:rsidRPr="00226190">
              <w:rPr>
                <w:rFonts w:ascii="Garamond" w:hAnsi="Garamond"/>
                <w:sz w:val="24"/>
                <w:szCs w:val="24"/>
              </w:rPr>
              <w:t>The independent variable is the type of intervention used to improve nursing documentation. These interventions include audits, checklists, education and training programs, electronic health record modifications, and feedbac</w:t>
            </w:r>
            <w:r w:rsidRPr="00226190">
              <w:rPr>
                <w:rFonts w:ascii="Garamond" w:hAnsi="Garamond"/>
                <w:sz w:val="24"/>
                <w:szCs w:val="24"/>
              </w:rPr>
              <w:lastRenderedPageBreak/>
              <w:t>k mechanisms.</w:t>
            </w:r>
          </w:p>
          <w:p w14:paraId="47A41053" w14:textId="77777777" w:rsidR="00226190" w:rsidRPr="00226190" w:rsidRDefault="00226190" w:rsidP="00BE0EA1">
            <w:pPr>
              <w:rPr>
                <w:rFonts w:ascii="Garamond" w:hAnsi="Garamond"/>
                <w:b/>
                <w:bCs/>
                <w:sz w:val="24"/>
                <w:szCs w:val="24"/>
              </w:rPr>
            </w:pPr>
          </w:p>
          <w:p w14:paraId="7C1320CE" w14:textId="77777777" w:rsidR="00226190" w:rsidRPr="00226190" w:rsidRDefault="00226190" w:rsidP="00BE0EA1">
            <w:pPr>
              <w:rPr>
                <w:rFonts w:ascii="Garamond" w:hAnsi="Garamond"/>
                <w:b/>
                <w:bCs/>
                <w:sz w:val="24"/>
                <w:szCs w:val="24"/>
              </w:rPr>
            </w:pPr>
            <w:r w:rsidRPr="00226190">
              <w:rPr>
                <w:rFonts w:ascii="Garamond" w:hAnsi="Garamond"/>
                <w:b/>
                <w:bCs/>
                <w:sz w:val="24"/>
                <w:szCs w:val="24"/>
              </w:rPr>
              <w:t>Dependent Variables</w:t>
            </w:r>
          </w:p>
          <w:p w14:paraId="04DE8B2E" w14:textId="77777777" w:rsidR="00226190" w:rsidRPr="00226190" w:rsidRDefault="00226190" w:rsidP="00BE0EA1">
            <w:pPr>
              <w:rPr>
                <w:rFonts w:ascii="Garamond" w:hAnsi="Garamond"/>
                <w:sz w:val="24"/>
                <w:szCs w:val="24"/>
              </w:rPr>
            </w:pPr>
            <w:r w:rsidRPr="00226190">
              <w:rPr>
                <w:rFonts w:ascii="Garamond" w:hAnsi="Garamond"/>
                <w:sz w:val="24"/>
                <w:szCs w:val="24"/>
              </w:rPr>
              <w:t>The dependent variables are the outcomes related to documentation compliance, such as:</w:t>
            </w:r>
          </w:p>
          <w:p w14:paraId="688E1F6D" w14:textId="77777777" w:rsidR="00226190" w:rsidRPr="00226190" w:rsidRDefault="00226190" w:rsidP="00BE0EA1">
            <w:pPr>
              <w:rPr>
                <w:rFonts w:ascii="Garamond" w:hAnsi="Garamond"/>
                <w:sz w:val="24"/>
                <w:szCs w:val="24"/>
              </w:rPr>
            </w:pPr>
          </w:p>
          <w:p w14:paraId="2F588FE3" w14:textId="77777777" w:rsidR="00226190" w:rsidRPr="00226190" w:rsidRDefault="00226190" w:rsidP="00BE0EA1">
            <w:pPr>
              <w:rPr>
                <w:rFonts w:ascii="Garamond" w:hAnsi="Garamond"/>
                <w:sz w:val="24"/>
                <w:szCs w:val="24"/>
              </w:rPr>
            </w:pPr>
            <w:r w:rsidRPr="00226190">
              <w:rPr>
                <w:rFonts w:ascii="Garamond" w:hAnsi="Garamond"/>
                <w:sz w:val="24"/>
                <w:szCs w:val="24"/>
              </w:rPr>
              <w:t>Completeness of nursing documentation</w:t>
            </w:r>
          </w:p>
          <w:p w14:paraId="7394B188" w14:textId="77777777" w:rsidR="00226190" w:rsidRPr="00226190" w:rsidRDefault="00226190" w:rsidP="00BE0EA1">
            <w:pPr>
              <w:rPr>
                <w:rFonts w:ascii="Garamond" w:hAnsi="Garamond"/>
                <w:sz w:val="24"/>
                <w:szCs w:val="24"/>
              </w:rPr>
            </w:pPr>
          </w:p>
          <w:p w14:paraId="2A6BA5D8" w14:textId="77777777" w:rsidR="00226190" w:rsidRPr="00226190" w:rsidRDefault="00226190" w:rsidP="00BE0EA1">
            <w:pPr>
              <w:rPr>
                <w:rFonts w:ascii="Garamond" w:hAnsi="Garamond"/>
                <w:sz w:val="24"/>
                <w:szCs w:val="24"/>
              </w:rPr>
            </w:pPr>
            <w:r w:rsidRPr="00226190">
              <w:rPr>
                <w:rFonts w:ascii="Garamond" w:hAnsi="Garamond"/>
                <w:sz w:val="24"/>
                <w:szCs w:val="24"/>
              </w:rPr>
              <w:t>Accuracy of recorded information</w:t>
            </w:r>
          </w:p>
          <w:p w14:paraId="7EC6179F" w14:textId="77777777" w:rsidR="00226190" w:rsidRPr="00226190" w:rsidRDefault="00226190" w:rsidP="00BE0EA1">
            <w:pPr>
              <w:rPr>
                <w:rFonts w:ascii="Garamond" w:hAnsi="Garamond"/>
                <w:sz w:val="24"/>
                <w:szCs w:val="24"/>
              </w:rPr>
            </w:pPr>
          </w:p>
          <w:p w14:paraId="10852BE5" w14:textId="77777777" w:rsidR="00226190" w:rsidRPr="00226190" w:rsidRDefault="00226190" w:rsidP="00BE0EA1">
            <w:pPr>
              <w:rPr>
                <w:rFonts w:ascii="Garamond" w:hAnsi="Garamond"/>
                <w:sz w:val="24"/>
                <w:szCs w:val="24"/>
              </w:rPr>
            </w:pPr>
            <w:r w:rsidRPr="00226190">
              <w:rPr>
                <w:rFonts w:ascii="Garamond" w:hAnsi="Garamond"/>
                <w:sz w:val="24"/>
                <w:szCs w:val="24"/>
              </w:rPr>
              <w:t>Adherence to clinical documentation standards and guidelines</w:t>
            </w:r>
          </w:p>
          <w:p w14:paraId="5FF1B0DA" w14:textId="77777777" w:rsidR="00226190" w:rsidRPr="00226190" w:rsidRDefault="00226190" w:rsidP="00BE0EA1">
            <w:pPr>
              <w:rPr>
                <w:rFonts w:ascii="Garamond" w:hAnsi="Garamond"/>
                <w:b/>
                <w:bCs/>
                <w:sz w:val="24"/>
                <w:szCs w:val="24"/>
              </w:rPr>
            </w:pPr>
          </w:p>
        </w:tc>
        <w:tc>
          <w:tcPr>
            <w:tcW w:w="556" w:type="pct"/>
          </w:tcPr>
          <w:p w14:paraId="561A9208"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The central theme of this article is design methodology and stakeholder engagement in healthcare checklist development. It emphasizes that while checklists are widely used to improve safety and workflow, their effectiveness depends heavily on how they are designed</w:t>
            </w:r>
            <w:r w:rsidRPr="00226190">
              <w:rPr>
                <w:rFonts w:ascii="Garamond" w:hAnsi="Garamond"/>
                <w:sz w:val="24"/>
                <w:szCs w:val="24"/>
              </w:rPr>
              <w:lastRenderedPageBreak/>
              <w:t>, particularly the extent to which stakeholders are involved in the process. The study highlights a lack of collaborative design approaches and calls for more standardized, user-centered methods to e</w:t>
            </w:r>
          </w:p>
        </w:tc>
        <w:tc>
          <w:tcPr>
            <w:tcW w:w="556" w:type="pct"/>
          </w:tcPr>
          <w:p w14:paraId="546119E4"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Most checklist design methods used in the reviewed studies were non-collaborative, such as interviews and surveys.</w:t>
            </w:r>
          </w:p>
          <w:p w14:paraId="2C2B29A1" w14:textId="77777777" w:rsidR="00226190" w:rsidRPr="00226190" w:rsidRDefault="00226190" w:rsidP="00BE0EA1">
            <w:pPr>
              <w:rPr>
                <w:rFonts w:ascii="Garamond" w:hAnsi="Garamond"/>
                <w:sz w:val="24"/>
                <w:szCs w:val="24"/>
              </w:rPr>
            </w:pPr>
          </w:p>
          <w:p w14:paraId="0EE8CB40" w14:textId="77777777" w:rsidR="00226190" w:rsidRPr="00226190" w:rsidRDefault="00226190" w:rsidP="00BE0EA1">
            <w:pPr>
              <w:rPr>
                <w:rFonts w:ascii="Garamond" w:hAnsi="Garamond"/>
                <w:sz w:val="24"/>
                <w:szCs w:val="24"/>
              </w:rPr>
            </w:pPr>
            <w:r w:rsidRPr="00226190">
              <w:rPr>
                <w:rFonts w:ascii="Garamond" w:hAnsi="Garamond"/>
                <w:sz w:val="24"/>
                <w:szCs w:val="24"/>
              </w:rPr>
              <w:t>Only 5 of the 29 studies involved empowered stakeholder participation, meaning users had a direct role in shaping the checklist.</w:t>
            </w:r>
          </w:p>
          <w:p w14:paraId="13CA0DDA" w14:textId="77777777" w:rsidR="00226190" w:rsidRPr="00226190" w:rsidRDefault="00226190" w:rsidP="00BE0EA1">
            <w:pPr>
              <w:rPr>
                <w:rFonts w:ascii="Garamond" w:hAnsi="Garamond"/>
                <w:sz w:val="24"/>
                <w:szCs w:val="24"/>
              </w:rPr>
            </w:pPr>
          </w:p>
          <w:p w14:paraId="49820F21" w14:textId="77777777" w:rsidR="00226190" w:rsidRPr="00226190" w:rsidRDefault="00226190" w:rsidP="00BE0EA1">
            <w:pPr>
              <w:rPr>
                <w:rFonts w:ascii="Garamond" w:hAnsi="Garamond"/>
                <w:sz w:val="24"/>
                <w:szCs w:val="24"/>
              </w:rPr>
            </w:pPr>
            <w:r w:rsidRPr="00226190">
              <w:rPr>
                <w:rFonts w:ascii="Garamond" w:hAnsi="Garamond"/>
                <w:sz w:val="24"/>
                <w:szCs w:val="24"/>
              </w:rPr>
              <w:t>The lack of standardized design frameworks and limited stakeholder engagement may reduce checklist effectiveness and adoption.</w:t>
            </w:r>
          </w:p>
          <w:p w14:paraId="1D8B41E7" w14:textId="77777777" w:rsidR="00226190" w:rsidRPr="00226190" w:rsidRDefault="00226190" w:rsidP="00BE0EA1">
            <w:pPr>
              <w:rPr>
                <w:rFonts w:ascii="Garamond" w:hAnsi="Garamond"/>
                <w:sz w:val="24"/>
                <w:szCs w:val="24"/>
              </w:rPr>
            </w:pPr>
          </w:p>
          <w:p w14:paraId="026BF764" w14:textId="77777777" w:rsidR="00226190" w:rsidRPr="00226190" w:rsidRDefault="00226190" w:rsidP="00BE0EA1">
            <w:pPr>
              <w:rPr>
                <w:rFonts w:ascii="Garamond" w:hAnsi="Garamond"/>
                <w:sz w:val="24"/>
                <w:szCs w:val="24"/>
              </w:rPr>
            </w:pPr>
            <w:r w:rsidRPr="00226190">
              <w:rPr>
                <w:rFonts w:ascii="Garamond" w:hAnsi="Garamond"/>
                <w:sz w:val="24"/>
                <w:szCs w:val="24"/>
              </w:rPr>
              <w:t>The study calls for more user-centered, participatory design approaches to improve checklist usability and impact in healthcare settings.</w:t>
            </w:r>
          </w:p>
          <w:p w14:paraId="02FE5AD9" w14:textId="77777777" w:rsidR="00226190" w:rsidRPr="00226190" w:rsidRDefault="00226190" w:rsidP="00BE0EA1">
            <w:pPr>
              <w:rPr>
                <w:rFonts w:ascii="Garamond" w:hAnsi="Garamond"/>
                <w:sz w:val="24"/>
                <w:szCs w:val="24"/>
              </w:rPr>
            </w:pPr>
          </w:p>
        </w:tc>
        <w:tc>
          <w:tcPr>
            <w:tcW w:w="556" w:type="pct"/>
          </w:tcPr>
          <w:p w14:paraId="72EFEE0E"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Consistent with other checklist literature, this review reinforces that stakeholder involvement and structured design processes are critical for successful implementation.</w:t>
            </w:r>
          </w:p>
          <w:p w14:paraId="798C7AE6" w14:textId="77777777" w:rsidR="00226190" w:rsidRPr="00226190" w:rsidRDefault="00226190" w:rsidP="00BE0EA1">
            <w:pPr>
              <w:rPr>
                <w:rFonts w:ascii="Garamond" w:hAnsi="Garamond"/>
                <w:sz w:val="24"/>
                <w:szCs w:val="24"/>
              </w:rPr>
            </w:pPr>
          </w:p>
          <w:p w14:paraId="1D53D0CD"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Like other studies in your table, it highlights that workflow improvements and </w:t>
            </w:r>
            <w:r w:rsidRPr="00226190">
              <w:rPr>
                <w:rFonts w:ascii="Garamond" w:hAnsi="Garamond"/>
                <w:sz w:val="24"/>
                <w:szCs w:val="24"/>
              </w:rPr>
              <w:lastRenderedPageBreak/>
              <w:t>safety gains depend not just on having a checklist, but on how it’s designed and integrated.</w:t>
            </w:r>
          </w:p>
          <w:p w14:paraId="337E1D11" w14:textId="77777777" w:rsidR="00226190" w:rsidRPr="00226190" w:rsidRDefault="00226190" w:rsidP="00BE0EA1">
            <w:pPr>
              <w:rPr>
                <w:rFonts w:ascii="Garamond" w:hAnsi="Garamond"/>
                <w:sz w:val="24"/>
                <w:szCs w:val="24"/>
              </w:rPr>
            </w:pPr>
          </w:p>
          <w:p w14:paraId="082DF1CA" w14:textId="77777777" w:rsidR="00226190" w:rsidRPr="00226190" w:rsidRDefault="00226190" w:rsidP="00BE0EA1">
            <w:pPr>
              <w:rPr>
                <w:rFonts w:ascii="Garamond" w:hAnsi="Garamond"/>
                <w:sz w:val="24"/>
                <w:szCs w:val="24"/>
              </w:rPr>
            </w:pPr>
            <w:r w:rsidRPr="00226190">
              <w:rPr>
                <w:rFonts w:ascii="Garamond" w:hAnsi="Garamond"/>
                <w:sz w:val="24"/>
                <w:szCs w:val="24"/>
              </w:rPr>
              <w:t>The findings align with broader themes in healthcare quality improvement: standardization, usability, and staff engagement are key to checklist success.</w:t>
            </w:r>
          </w:p>
          <w:p w14:paraId="65A19957" w14:textId="77777777" w:rsidR="00226190" w:rsidRPr="00226190" w:rsidRDefault="00226190" w:rsidP="00BE0EA1">
            <w:pPr>
              <w:rPr>
                <w:rFonts w:ascii="Garamond" w:hAnsi="Garamond"/>
                <w:sz w:val="24"/>
                <w:szCs w:val="24"/>
              </w:rPr>
            </w:pPr>
          </w:p>
        </w:tc>
        <w:tc>
          <w:tcPr>
            <w:tcW w:w="556" w:type="pct"/>
          </w:tcPr>
          <w:p w14:paraId="038478F9"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article does not provide a formal cost analysis. However, it emphasizes that poorly designed checklists can lead to inefficiencies, low adoption, and wasted resources. By contrast, well-designed, user-centered checklists are more likely to be adopted, improve </w:t>
            </w:r>
            <w:r w:rsidRPr="00226190">
              <w:rPr>
                <w:rFonts w:ascii="Garamond" w:hAnsi="Garamond"/>
                <w:sz w:val="24"/>
                <w:szCs w:val="24"/>
              </w:rPr>
              <w:lastRenderedPageBreak/>
              <w:t>workflow, and reduce errors which indirectly contributing to cost savings through better implementation outcomes and reduced rework.</w:t>
            </w:r>
          </w:p>
          <w:p w14:paraId="0C219E2F" w14:textId="77777777" w:rsidR="00226190" w:rsidRPr="00226190" w:rsidRDefault="00226190" w:rsidP="00BE0EA1">
            <w:pPr>
              <w:rPr>
                <w:rFonts w:ascii="Garamond" w:hAnsi="Garamond"/>
                <w:sz w:val="24"/>
                <w:szCs w:val="24"/>
              </w:rPr>
            </w:pPr>
          </w:p>
        </w:tc>
        <w:tc>
          <w:tcPr>
            <w:tcW w:w="556" w:type="pct"/>
          </w:tcPr>
          <w:p w14:paraId="00BE2D9F"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Most included studies used non-collaborative design methods, limiting insights into co-design or participatory approaches.</w:t>
            </w:r>
          </w:p>
          <w:p w14:paraId="1AE8D740" w14:textId="77777777" w:rsidR="00226190" w:rsidRPr="00226190" w:rsidRDefault="00226190" w:rsidP="00BE0EA1">
            <w:pPr>
              <w:rPr>
                <w:rFonts w:ascii="Garamond" w:hAnsi="Garamond"/>
                <w:sz w:val="24"/>
                <w:szCs w:val="24"/>
              </w:rPr>
            </w:pPr>
          </w:p>
          <w:p w14:paraId="71966559" w14:textId="77777777" w:rsidR="00226190" w:rsidRPr="00226190" w:rsidRDefault="00226190" w:rsidP="00BE0EA1">
            <w:pPr>
              <w:rPr>
                <w:rFonts w:ascii="Garamond" w:hAnsi="Garamond"/>
                <w:sz w:val="24"/>
                <w:szCs w:val="24"/>
              </w:rPr>
            </w:pPr>
            <w:r w:rsidRPr="00226190">
              <w:rPr>
                <w:rFonts w:ascii="Garamond" w:hAnsi="Garamond"/>
                <w:sz w:val="24"/>
                <w:szCs w:val="24"/>
              </w:rPr>
              <w:t>The review focused on design processes, not on clinical or financial outcomes of checklist use.</w:t>
            </w:r>
          </w:p>
          <w:p w14:paraId="31BB0E64" w14:textId="77777777" w:rsidR="00226190" w:rsidRPr="00226190" w:rsidRDefault="00226190" w:rsidP="00BE0EA1">
            <w:pPr>
              <w:rPr>
                <w:rFonts w:ascii="Garamond" w:hAnsi="Garamond"/>
                <w:sz w:val="24"/>
                <w:szCs w:val="24"/>
              </w:rPr>
            </w:pPr>
          </w:p>
          <w:p w14:paraId="7023E8B8" w14:textId="77777777" w:rsidR="00226190" w:rsidRPr="00226190" w:rsidRDefault="00226190" w:rsidP="00BE0EA1">
            <w:pPr>
              <w:rPr>
                <w:rFonts w:ascii="Garamond" w:hAnsi="Garamond"/>
                <w:sz w:val="24"/>
                <w:szCs w:val="24"/>
              </w:rPr>
            </w:pPr>
            <w:r w:rsidRPr="00226190">
              <w:rPr>
                <w:rFonts w:ascii="Garamond" w:hAnsi="Garamond"/>
                <w:sz w:val="24"/>
                <w:szCs w:val="24"/>
              </w:rPr>
              <w:t>There was no assessm</w:t>
            </w:r>
            <w:r w:rsidRPr="00226190">
              <w:rPr>
                <w:rFonts w:ascii="Garamond" w:hAnsi="Garamond"/>
                <w:sz w:val="24"/>
                <w:szCs w:val="24"/>
              </w:rPr>
              <w:lastRenderedPageBreak/>
              <w:t>ent of checklist effectiveness, only how they were developed.</w:t>
            </w:r>
          </w:p>
          <w:p w14:paraId="2CA3C53E" w14:textId="77777777" w:rsidR="00226190" w:rsidRPr="00226190" w:rsidRDefault="00226190" w:rsidP="00BE0EA1">
            <w:pPr>
              <w:rPr>
                <w:rFonts w:ascii="Garamond" w:hAnsi="Garamond"/>
                <w:sz w:val="24"/>
                <w:szCs w:val="24"/>
              </w:rPr>
            </w:pPr>
          </w:p>
        </w:tc>
      </w:tr>
      <w:tr w:rsidR="00226190" w:rsidRPr="00226190" w14:paraId="2B697E0F" w14:textId="77777777" w:rsidTr="00226190">
        <w:tc>
          <w:tcPr>
            <w:tcW w:w="555" w:type="pct"/>
          </w:tcPr>
          <w:p w14:paraId="2B1D071D"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Etheridge, J. C., Choong, K. C., Goh, A. S. T., et al. (2024). Transforming team performance through </w:t>
            </w:r>
            <w:r w:rsidRPr="00226190">
              <w:rPr>
                <w:rFonts w:ascii="Garamond" w:hAnsi="Garamond"/>
                <w:sz w:val="24"/>
                <w:szCs w:val="24"/>
              </w:rPr>
              <w:lastRenderedPageBreak/>
              <w:t xml:space="preserve">checklist reimplementation: Enhancing surgical safety and team behavior. </w:t>
            </w:r>
            <w:r w:rsidRPr="00226190">
              <w:rPr>
                <w:rFonts w:ascii="Garamond" w:hAnsi="Garamond"/>
                <w:i/>
                <w:iCs/>
                <w:sz w:val="24"/>
                <w:szCs w:val="24"/>
              </w:rPr>
              <w:t>JAMA Surgery</w:t>
            </w:r>
            <w:r w:rsidRPr="00226190">
              <w:rPr>
                <w:rFonts w:ascii="Garamond" w:hAnsi="Garamond"/>
                <w:sz w:val="24"/>
                <w:szCs w:val="24"/>
              </w:rPr>
              <w:t>. https://doi.org/10.1001/jamasurg.2024.1199</w:t>
            </w:r>
          </w:p>
        </w:tc>
        <w:tc>
          <w:tcPr>
            <w:tcW w:w="556" w:type="pct"/>
          </w:tcPr>
          <w:p w14:paraId="13A6B7D5"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Operating room teams (surgeons, anesthesiologists, nurses) in two large academic referral hospitals </w:t>
            </w:r>
            <w:r w:rsidRPr="00226190">
              <w:rPr>
                <w:rFonts w:ascii="Garamond" w:hAnsi="Garamond"/>
                <w:sz w:val="24"/>
                <w:szCs w:val="24"/>
              </w:rPr>
              <w:lastRenderedPageBreak/>
              <w:t>in Singapore. All surgical operations in those hospitals were eligible participants</w:t>
            </w:r>
          </w:p>
        </w:tc>
        <w:tc>
          <w:tcPr>
            <w:tcW w:w="556" w:type="pct"/>
          </w:tcPr>
          <w:p w14:paraId="7DE7271D"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This was a prospective hybrid implementation-effectiveness study. The authors redesigned and </w:t>
            </w:r>
            <w:r w:rsidRPr="00226190">
              <w:rPr>
                <w:rFonts w:ascii="Garamond" w:hAnsi="Garamond"/>
                <w:sz w:val="24"/>
                <w:szCs w:val="24"/>
              </w:rPr>
              <w:lastRenderedPageBreak/>
              <w:t>reimplemented a surgical safety checklist package using implementation science and human factors engineering. They then measured behavior, safety culture, and surgical outcomes before and after reimplementation. Surveys, observations, compliance audits, and clinical outcome metrics were collected.</w:t>
            </w:r>
          </w:p>
        </w:tc>
        <w:tc>
          <w:tcPr>
            <w:tcW w:w="556" w:type="pct"/>
          </w:tcPr>
          <w:p w14:paraId="27D48157" w14:textId="77777777" w:rsidR="00226190" w:rsidRPr="00226190" w:rsidRDefault="00226190" w:rsidP="00BE0EA1">
            <w:pPr>
              <w:rPr>
                <w:rFonts w:ascii="Garamond" w:hAnsi="Garamond"/>
                <w:sz w:val="24"/>
                <w:szCs w:val="24"/>
              </w:rPr>
            </w:pPr>
            <w:r w:rsidRPr="00226190">
              <w:rPr>
                <w:rFonts w:ascii="Garamond" w:hAnsi="Garamond"/>
                <w:b/>
                <w:bCs/>
                <w:sz w:val="24"/>
                <w:szCs w:val="24"/>
              </w:rPr>
              <w:lastRenderedPageBreak/>
              <w:t>Independent variable:</w:t>
            </w:r>
            <w:r w:rsidRPr="00226190">
              <w:rPr>
                <w:rFonts w:ascii="Garamond" w:hAnsi="Garamond"/>
                <w:sz w:val="24"/>
                <w:szCs w:val="24"/>
              </w:rPr>
              <w:t xml:space="preserve"> the reimplemented / redesigned surgical checklist intervention</w:t>
            </w:r>
          </w:p>
          <w:p w14:paraId="1E72BF8C" w14:textId="77777777" w:rsidR="00226190" w:rsidRPr="00226190" w:rsidRDefault="00226190" w:rsidP="00BE0EA1">
            <w:pPr>
              <w:rPr>
                <w:rFonts w:ascii="Garamond" w:hAnsi="Garamond"/>
                <w:sz w:val="24"/>
                <w:szCs w:val="24"/>
              </w:rPr>
            </w:pPr>
          </w:p>
          <w:p w14:paraId="332B28A4" w14:textId="77777777" w:rsidR="00226190" w:rsidRPr="00226190" w:rsidRDefault="00226190" w:rsidP="00BE0EA1">
            <w:pPr>
              <w:rPr>
                <w:rFonts w:ascii="Garamond" w:hAnsi="Garamond"/>
                <w:sz w:val="24"/>
                <w:szCs w:val="24"/>
              </w:rPr>
            </w:pPr>
            <w:r w:rsidRPr="00226190">
              <w:rPr>
                <w:rFonts w:ascii="Garamond" w:hAnsi="Garamond"/>
                <w:b/>
                <w:bCs/>
                <w:sz w:val="24"/>
                <w:szCs w:val="24"/>
              </w:rPr>
              <w:lastRenderedPageBreak/>
              <w:t>Dependent variables:</w:t>
            </w:r>
            <w:r w:rsidRPr="00226190">
              <w:rPr>
                <w:rFonts w:ascii="Garamond" w:hAnsi="Garamond"/>
                <w:sz w:val="24"/>
                <w:szCs w:val="24"/>
              </w:rPr>
              <w:t xml:space="preserve"> team behavior (observed compliance, safety culture survey scores), surgical outcomes (complication rates, perhaps mortality)</w:t>
            </w:r>
          </w:p>
          <w:p w14:paraId="19C2D9B2" w14:textId="77777777" w:rsidR="00226190" w:rsidRPr="00226190" w:rsidRDefault="00226190" w:rsidP="00BE0EA1">
            <w:pPr>
              <w:rPr>
                <w:rFonts w:ascii="Garamond" w:hAnsi="Garamond"/>
                <w:b/>
                <w:bCs/>
                <w:sz w:val="24"/>
                <w:szCs w:val="24"/>
              </w:rPr>
            </w:pPr>
          </w:p>
        </w:tc>
        <w:tc>
          <w:tcPr>
            <w:tcW w:w="556" w:type="pct"/>
          </w:tcPr>
          <w:p w14:paraId="63264B64"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theme is that reintroducing or redesigning checklists with implementation support (e.g. behavior </w:t>
            </w:r>
            <w:r w:rsidRPr="00226190">
              <w:rPr>
                <w:rFonts w:ascii="Garamond" w:hAnsi="Garamond"/>
                <w:sz w:val="24"/>
                <w:szCs w:val="24"/>
              </w:rPr>
              <w:lastRenderedPageBreak/>
              <w:t>change tools, feedback) can improve team behavior, safety culture, and surgical outcomes.</w:t>
            </w:r>
          </w:p>
        </w:tc>
        <w:tc>
          <w:tcPr>
            <w:tcW w:w="556" w:type="pct"/>
          </w:tcPr>
          <w:p w14:paraId="4F273157"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reimplementation was associated with improved compliance with checklist tasks, positive shifts in </w:t>
            </w:r>
            <w:r w:rsidRPr="00226190">
              <w:rPr>
                <w:rFonts w:ascii="Garamond" w:hAnsi="Garamond"/>
                <w:sz w:val="24"/>
                <w:szCs w:val="24"/>
              </w:rPr>
              <w:lastRenderedPageBreak/>
              <w:t>safety culture, and reduction in some adverse event rates. The intervention also influenced team communication and engagement.</w:t>
            </w:r>
          </w:p>
        </w:tc>
        <w:tc>
          <w:tcPr>
            <w:tcW w:w="556" w:type="pct"/>
          </w:tcPr>
          <w:p w14:paraId="2D9CB3AB"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Echoes literature that the success of checklists depends heavily on implementation method, </w:t>
            </w:r>
            <w:r w:rsidRPr="00226190">
              <w:rPr>
                <w:rFonts w:ascii="Garamond" w:hAnsi="Garamond"/>
                <w:sz w:val="24"/>
                <w:szCs w:val="24"/>
              </w:rPr>
              <w:lastRenderedPageBreak/>
              <w:t>context, team buy-in, and human factors design.</w:t>
            </w:r>
          </w:p>
          <w:p w14:paraId="6FA57186" w14:textId="77777777" w:rsidR="00226190" w:rsidRPr="00226190" w:rsidRDefault="00226190" w:rsidP="00BE0EA1">
            <w:pPr>
              <w:rPr>
                <w:rFonts w:ascii="Garamond" w:hAnsi="Garamond"/>
                <w:sz w:val="24"/>
                <w:szCs w:val="24"/>
              </w:rPr>
            </w:pPr>
          </w:p>
          <w:p w14:paraId="390109AE" w14:textId="77777777" w:rsidR="00226190" w:rsidRPr="00226190" w:rsidRDefault="00226190" w:rsidP="00BE0EA1">
            <w:pPr>
              <w:rPr>
                <w:rFonts w:ascii="Garamond" w:hAnsi="Garamond"/>
                <w:sz w:val="24"/>
                <w:szCs w:val="24"/>
              </w:rPr>
            </w:pPr>
          </w:p>
          <w:p w14:paraId="77DD368B" w14:textId="77777777" w:rsidR="00226190" w:rsidRPr="00226190" w:rsidRDefault="00226190" w:rsidP="00BE0EA1">
            <w:pPr>
              <w:rPr>
                <w:rFonts w:ascii="Garamond" w:hAnsi="Garamond"/>
                <w:sz w:val="24"/>
                <w:szCs w:val="24"/>
              </w:rPr>
            </w:pPr>
          </w:p>
        </w:tc>
        <w:tc>
          <w:tcPr>
            <w:tcW w:w="556" w:type="pct"/>
          </w:tcPr>
          <w:p w14:paraId="7C8266A2"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Not fully calculated in the summary, but the implication is that fewer surgical complications </w:t>
            </w:r>
            <w:r w:rsidRPr="00226190">
              <w:rPr>
                <w:rFonts w:ascii="Garamond" w:hAnsi="Garamond"/>
                <w:sz w:val="24"/>
                <w:szCs w:val="24"/>
              </w:rPr>
              <w:lastRenderedPageBreak/>
              <w:t>and better safety yield cost savings (shorter stays, lower morbidity).</w:t>
            </w:r>
          </w:p>
        </w:tc>
        <w:tc>
          <w:tcPr>
            <w:tcW w:w="556" w:type="pct"/>
          </w:tcPr>
          <w:p w14:paraId="31A843AC"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Conducted in two referral centers in Singapore, which may limit generalizability</w:t>
            </w:r>
          </w:p>
          <w:p w14:paraId="1F38E9D7" w14:textId="77777777" w:rsidR="00226190" w:rsidRPr="00226190" w:rsidRDefault="00226190" w:rsidP="00BE0EA1">
            <w:pPr>
              <w:rPr>
                <w:rFonts w:ascii="Garamond" w:hAnsi="Garamond"/>
                <w:sz w:val="24"/>
                <w:szCs w:val="24"/>
              </w:rPr>
            </w:pPr>
          </w:p>
          <w:p w14:paraId="656F941A"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As a hybrid implementation study, causality is more suggestive than definitive</w:t>
            </w:r>
          </w:p>
          <w:p w14:paraId="04918FBA" w14:textId="77777777" w:rsidR="00226190" w:rsidRPr="00226190" w:rsidRDefault="00226190" w:rsidP="00BE0EA1">
            <w:pPr>
              <w:rPr>
                <w:rFonts w:ascii="Garamond" w:hAnsi="Garamond"/>
                <w:sz w:val="24"/>
                <w:szCs w:val="24"/>
              </w:rPr>
            </w:pPr>
          </w:p>
          <w:p w14:paraId="5F4383B9" w14:textId="77777777" w:rsidR="00226190" w:rsidRPr="00226190" w:rsidRDefault="00226190" w:rsidP="00BE0EA1">
            <w:pPr>
              <w:rPr>
                <w:rFonts w:ascii="Garamond" w:hAnsi="Garamond"/>
                <w:sz w:val="24"/>
                <w:szCs w:val="24"/>
              </w:rPr>
            </w:pPr>
            <w:r w:rsidRPr="00226190">
              <w:rPr>
                <w:rFonts w:ascii="Garamond" w:hAnsi="Garamond"/>
                <w:sz w:val="24"/>
                <w:szCs w:val="24"/>
              </w:rPr>
              <w:t>Possible Hawthorne effects (teams change behavior because being observed)</w:t>
            </w:r>
          </w:p>
          <w:p w14:paraId="3C21300A" w14:textId="77777777" w:rsidR="00226190" w:rsidRPr="00226190" w:rsidRDefault="00226190" w:rsidP="00BE0EA1">
            <w:pPr>
              <w:rPr>
                <w:rFonts w:ascii="Garamond" w:hAnsi="Garamond"/>
                <w:sz w:val="24"/>
                <w:szCs w:val="24"/>
              </w:rPr>
            </w:pPr>
          </w:p>
          <w:p w14:paraId="603CD5AF" w14:textId="77777777" w:rsidR="00226190" w:rsidRPr="00226190" w:rsidRDefault="00226190" w:rsidP="00BE0EA1">
            <w:pPr>
              <w:rPr>
                <w:rFonts w:ascii="Garamond" w:hAnsi="Garamond"/>
                <w:sz w:val="24"/>
                <w:szCs w:val="24"/>
              </w:rPr>
            </w:pPr>
            <w:r w:rsidRPr="00226190">
              <w:rPr>
                <w:rFonts w:ascii="Garamond" w:hAnsi="Garamond"/>
                <w:sz w:val="24"/>
                <w:szCs w:val="24"/>
              </w:rPr>
              <w:t>Limited time horizon and long-term sustainability not fully assessed</w:t>
            </w:r>
          </w:p>
          <w:p w14:paraId="18DE838D" w14:textId="77777777" w:rsidR="00226190" w:rsidRPr="00226190" w:rsidRDefault="00226190" w:rsidP="00BE0EA1">
            <w:pPr>
              <w:rPr>
                <w:rFonts w:ascii="Garamond" w:hAnsi="Garamond"/>
                <w:sz w:val="24"/>
                <w:szCs w:val="24"/>
              </w:rPr>
            </w:pPr>
          </w:p>
        </w:tc>
      </w:tr>
      <w:tr w:rsidR="00226190" w:rsidRPr="00226190" w14:paraId="25013DAC" w14:textId="77777777" w:rsidTr="00226190">
        <w:tc>
          <w:tcPr>
            <w:tcW w:w="555" w:type="pct"/>
          </w:tcPr>
          <w:p w14:paraId="0915C405"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Kramer, H. S., </w:t>
            </w:r>
            <w:r w:rsidRPr="00226190">
              <w:rPr>
                <w:rFonts w:ascii="Garamond" w:hAnsi="Garamond"/>
                <w:sz w:val="24"/>
                <w:szCs w:val="24"/>
              </w:rPr>
              <w:lastRenderedPageBreak/>
              <w:t xml:space="preserve">Rosen, M. A., Kahn, J. M., &amp; Admon, A. J. (2017). A systematic review of electronic checklist </w:t>
            </w:r>
            <w:proofErr w:type="gramStart"/>
            <w:r w:rsidRPr="00226190">
              <w:rPr>
                <w:rFonts w:ascii="Garamond" w:hAnsi="Garamond"/>
                <w:sz w:val="24"/>
                <w:szCs w:val="24"/>
              </w:rPr>
              <w:t>use</w:t>
            </w:r>
            <w:proofErr w:type="gramEnd"/>
            <w:r w:rsidRPr="00226190">
              <w:rPr>
                <w:rFonts w:ascii="Garamond" w:hAnsi="Garamond"/>
                <w:sz w:val="24"/>
                <w:szCs w:val="24"/>
              </w:rPr>
              <w:t xml:space="preserve"> in healthcare. </w:t>
            </w:r>
            <w:r w:rsidRPr="00226190">
              <w:rPr>
                <w:rFonts w:ascii="Garamond" w:hAnsi="Garamond"/>
                <w:i/>
                <w:iCs/>
                <w:sz w:val="24"/>
                <w:szCs w:val="24"/>
              </w:rPr>
              <w:t>Journal of the American Medical Informatics Association, 24</w:t>
            </w:r>
            <w:r w:rsidRPr="00226190">
              <w:rPr>
                <w:rFonts w:ascii="Garamond" w:hAnsi="Garamond"/>
                <w:sz w:val="24"/>
                <w:szCs w:val="24"/>
              </w:rPr>
              <w:t>(6), 1140–1146. https://doi.org/10.1093/jamia/ocx043</w:t>
            </w:r>
          </w:p>
        </w:tc>
        <w:tc>
          <w:tcPr>
            <w:tcW w:w="556" w:type="pct"/>
          </w:tcPr>
          <w:p w14:paraId="230D9AA2"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Published </w:t>
            </w:r>
            <w:r w:rsidRPr="00226190">
              <w:rPr>
                <w:rFonts w:ascii="Garamond" w:hAnsi="Garamond"/>
                <w:sz w:val="24"/>
                <w:szCs w:val="24"/>
              </w:rPr>
              <w:lastRenderedPageBreak/>
              <w:t>healthcare settings (ICUs, operating rooms, wards) implementing electronic checklists (versus paper) and the associated patients / clinical processes. The “population” is clinical units and their processes.</w:t>
            </w:r>
          </w:p>
        </w:tc>
        <w:tc>
          <w:tcPr>
            <w:tcW w:w="556" w:type="pct"/>
          </w:tcPr>
          <w:p w14:paraId="5BF1EFC6"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Systematic </w:t>
            </w:r>
            <w:r w:rsidRPr="00226190">
              <w:rPr>
                <w:rFonts w:ascii="Garamond" w:hAnsi="Garamond"/>
                <w:sz w:val="24"/>
                <w:szCs w:val="24"/>
              </w:rPr>
              <w:lastRenderedPageBreak/>
              <w:t>review of literature examining electronic checklist implementation, their effects, challenges, and outcomes. The authors extracted data on effectiveness, adoption, usability, and outcome measures.</w:t>
            </w:r>
          </w:p>
        </w:tc>
        <w:tc>
          <w:tcPr>
            <w:tcW w:w="556" w:type="pct"/>
          </w:tcPr>
          <w:p w14:paraId="6B885E3C" w14:textId="77777777" w:rsidR="00226190" w:rsidRPr="00226190" w:rsidRDefault="00226190" w:rsidP="00BE0EA1">
            <w:pPr>
              <w:rPr>
                <w:rFonts w:ascii="Garamond" w:hAnsi="Garamond"/>
                <w:sz w:val="24"/>
                <w:szCs w:val="24"/>
              </w:rPr>
            </w:pPr>
            <w:r w:rsidRPr="00226190">
              <w:rPr>
                <w:rFonts w:ascii="Garamond" w:hAnsi="Garamond"/>
                <w:b/>
                <w:bCs/>
                <w:sz w:val="24"/>
                <w:szCs w:val="24"/>
              </w:rPr>
              <w:lastRenderedPageBreak/>
              <w:t xml:space="preserve">Independent </w:t>
            </w:r>
            <w:r w:rsidRPr="00226190">
              <w:rPr>
                <w:rFonts w:ascii="Garamond" w:hAnsi="Garamond"/>
                <w:b/>
                <w:bCs/>
                <w:sz w:val="24"/>
                <w:szCs w:val="24"/>
              </w:rPr>
              <w:lastRenderedPageBreak/>
              <w:t xml:space="preserve">variable: </w:t>
            </w:r>
            <w:r w:rsidRPr="00226190">
              <w:rPr>
                <w:rFonts w:ascii="Garamond" w:hAnsi="Garamond"/>
                <w:sz w:val="24"/>
                <w:szCs w:val="24"/>
              </w:rPr>
              <w:t>use of electronic checklists (versus paper or none)</w:t>
            </w:r>
          </w:p>
          <w:p w14:paraId="699425CC" w14:textId="77777777" w:rsidR="00226190" w:rsidRPr="00226190" w:rsidRDefault="00226190" w:rsidP="00BE0EA1">
            <w:pPr>
              <w:rPr>
                <w:rFonts w:ascii="Garamond" w:hAnsi="Garamond"/>
                <w:b/>
                <w:bCs/>
                <w:sz w:val="24"/>
                <w:szCs w:val="24"/>
              </w:rPr>
            </w:pPr>
          </w:p>
          <w:p w14:paraId="737AE2A4" w14:textId="77777777" w:rsidR="00226190" w:rsidRPr="00226190" w:rsidRDefault="00226190" w:rsidP="00BE0EA1">
            <w:pPr>
              <w:rPr>
                <w:rFonts w:ascii="Garamond" w:hAnsi="Garamond"/>
                <w:b/>
                <w:bCs/>
                <w:sz w:val="24"/>
                <w:szCs w:val="24"/>
              </w:rPr>
            </w:pPr>
            <w:r w:rsidRPr="00226190">
              <w:rPr>
                <w:rFonts w:ascii="Garamond" w:hAnsi="Garamond"/>
                <w:b/>
                <w:bCs/>
                <w:sz w:val="24"/>
                <w:szCs w:val="24"/>
              </w:rPr>
              <w:t xml:space="preserve">Dependent variables: </w:t>
            </w:r>
            <w:r w:rsidRPr="00226190">
              <w:rPr>
                <w:rFonts w:ascii="Garamond" w:hAnsi="Garamond"/>
                <w:sz w:val="24"/>
                <w:szCs w:val="24"/>
              </w:rPr>
              <w:t>error rates, compliance, usability metrics, process outcomes</w:t>
            </w:r>
          </w:p>
          <w:p w14:paraId="4C559E1F" w14:textId="77777777" w:rsidR="00226190" w:rsidRPr="00226190" w:rsidRDefault="00226190" w:rsidP="00BE0EA1">
            <w:pPr>
              <w:rPr>
                <w:rFonts w:ascii="Garamond" w:hAnsi="Garamond"/>
                <w:b/>
                <w:bCs/>
                <w:sz w:val="24"/>
                <w:szCs w:val="24"/>
              </w:rPr>
            </w:pPr>
          </w:p>
        </w:tc>
        <w:tc>
          <w:tcPr>
            <w:tcW w:w="556" w:type="pct"/>
          </w:tcPr>
          <w:p w14:paraId="0B9FDE83"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Investigating </w:t>
            </w:r>
            <w:r w:rsidRPr="00226190">
              <w:rPr>
                <w:rFonts w:ascii="Garamond" w:hAnsi="Garamond"/>
                <w:sz w:val="24"/>
                <w:szCs w:val="24"/>
              </w:rPr>
              <w:lastRenderedPageBreak/>
              <w:t>how transitioning from paper to electronic checklists affects healthcare quality, error detection, compliance, and usability.</w:t>
            </w:r>
          </w:p>
        </w:tc>
        <w:tc>
          <w:tcPr>
            <w:tcW w:w="556" w:type="pct"/>
          </w:tcPr>
          <w:p w14:paraId="0F27F380"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authors </w:t>
            </w:r>
            <w:r w:rsidRPr="00226190">
              <w:rPr>
                <w:rFonts w:ascii="Garamond" w:hAnsi="Garamond"/>
                <w:sz w:val="24"/>
                <w:szCs w:val="24"/>
              </w:rPr>
              <w:lastRenderedPageBreak/>
              <w:t>found that electronic checklists can improve adherence, integrate with workflows, and reduce certain errors, but success depends heavily on design, integration, alert fatigue, and user acceptance.</w:t>
            </w:r>
          </w:p>
        </w:tc>
        <w:tc>
          <w:tcPr>
            <w:tcW w:w="556" w:type="pct"/>
          </w:tcPr>
          <w:p w14:paraId="0AB539EA"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Aligns with </w:t>
            </w:r>
            <w:r w:rsidRPr="00226190">
              <w:rPr>
                <w:rFonts w:ascii="Garamond" w:hAnsi="Garamond"/>
                <w:sz w:val="24"/>
                <w:szCs w:val="24"/>
              </w:rPr>
              <w:lastRenderedPageBreak/>
              <w:t>broader checklist literature: technology helps but context, design, and usability are key determinants of benefit.</w:t>
            </w:r>
          </w:p>
        </w:tc>
        <w:tc>
          <w:tcPr>
            <w:tcW w:w="556" w:type="pct"/>
          </w:tcPr>
          <w:p w14:paraId="657B7343"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Not directly </w:t>
            </w:r>
            <w:r w:rsidRPr="00226190">
              <w:rPr>
                <w:rFonts w:ascii="Garamond" w:hAnsi="Garamond"/>
                <w:sz w:val="24"/>
                <w:szCs w:val="24"/>
              </w:rPr>
              <w:lastRenderedPageBreak/>
              <w:t>quantified; but better adherence and fewer errors suggest potential reductions in adverse event costs and workflow inefficiencies.</w:t>
            </w:r>
          </w:p>
        </w:tc>
        <w:tc>
          <w:tcPr>
            <w:tcW w:w="556" w:type="pct"/>
          </w:tcPr>
          <w:p w14:paraId="4C01C674"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Heterogeneity </w:t>
            </w:r>
            <w:r w:rsidRPr="00226190">
              <w:rPr>
                <w:rFonts w:ascii="Garamond" w:hAnsi="Garamond"/>
                <w:sz w:val="24"/>
                <w:szCs w:val="24"/>
              </w:rPr>
              <w:lastRenderedPageBreak/>
              <w:t>across studies, making cross-study comparisons difficult</w:t>
            </w:r>
          </w:p>
          <w:p w14:paraId="7B27264E" w14:textId="77777777" w:rsidR="00226190" w:rsidRPr="00226190" w:rsidRDefault="00226190" w:rsidP="00BE0EA1">
            <w:pPr>
              <w:rPr>
                <w:rFonts w:ascii="Garamond" w:hAnsi="Garamond"/>
                <w:sz w:val="24"/>
                <w:szCs w:val="24"/>
              </w:rPr>
            </w:pPr>
          </w:p>
          <w:p w14:paraId="27F57A32" w14:textId="77777777" w:rsidR="00226190" w:rsidRPr="00226190" w:rsidRDefault="00226190" w:rsidP="00BE0EA1">
            <w:pPr>
              <w:rPr>
                <w:rFonts w:ascii="Garamond" w:hAnsi="Garamond"/>
                <w:sz w:val="24"/>
                <w:szCs w:val="24"/>
              </w:rPr>
            </w:pPr>
            <w:r w:rsidRPr="00226190">
              <w:rPr>
                <w:rFonts w:ascii="Garamond" w:hAnsi="Garamond"/>
                <w:sz w:val="24"/>
                <w:szCs w:val="24"/>
              </w:rPr>
              <w:t>Many studies lacked robust outcome measurement (some descriptive)</w:t>
            </w:r>
          </w:p>
          <w:p w14:paraId="0F5D8D62" w14:textId="77777777" w:rsidR="00226190" w:rsidRPr="00226190" w:rsidRDefault="00226190" w:rsidP="00BE0EA1">
            <w:pPr>
              <w:rPr>
                <w:rFonts w:ascii="Garamond" w:hAnsi="Garamond"/>
                <w:sz w:val="24"/>
                <w:szCs w:val="24"/>
              </w:rPr>
            </w:pPr>
          </w:p>
          <w:p w14:paraId="1305AB71" w14:textId="77777777" w:rsidR="00226190" w:rsidRPr="00226190" w:rsidRDefault="00226190" w:rsidP="00BE0EA1">
            <w:pPr>
              <w:rPr>
                <w:rFonts w:ascii="Garamond" w:hAnsi="Garamond"/>
                <w:sz w:val="24"/>
                <w:szCs w:val="24"/>
              </w:rPr>
            </w:pPr>
            <w:r w:rsidRPr="00226190">
              <w:rPr>
                <w:rFonts w:ascii="Garamond" w:hAnsi="Garamond"/>
                <w:sz w:val="24"/>
                <w:szCs w:val="24"/>
              </w:rPr>
              <w:t>Publication bias toward positive results</w:t>
            </w:r>
          </w:p>
          <w:p w14:paraId="5B8EC26D" w14:textId="77777777" w:rsidR="00226190" w:rsidRPr="00226190" w:rsidRDefault="00226190" w:rsidP="00BE0EA1">
            <w:pPr>
              <w:rPr>
                <w:rFonts w:ascii="Garamond" w:hAnsi="Garamond"/>
                <w:sz w:val="24"/>
                <w:szCs w:val="24"/>
              </w:rPr>
            </w:pPr>
          </w:p>
          <w:p w14:paraId="0EC5A82B" w14:textId="77777777" w:rsidR="00226190" w:rsidRPr="00226190" w:rsidRDefault="00226190" w:rsidP="00BE0EA1">
            <w:pPr>
              <w:rPr>
                <w:rFonts w:ascii="Garamond" w:hAnsi="Garamond"/>
                <w:sz w:val="24"/>
                <w:szCs w:val="24"/>
              </w:rPr>
            </w:pPr>
            <w:r w:rsidRPr="00226190">
              <w:rPr>
                <w:rFonts w:ascii="Garamond" w:hAnsi="Garamond"/>
                <w:sz w:val="24"/>
                <w:szCs w:val="24"/>
              </w:rPr>
              <w:t>Difficult to isolate the effect of the electronic checklist itself (other concurrent interventions)</w:t>
            </w:r>
          </w:p>
          <w:p w14:paraId="4FD1218F" w14:textId="77777777" w:rsidR="00226190" w:rsidRPr="00226190" w:rsidRDefault="00226190" w:rsidP="00BE0EA1">
            <w:pPr>
              <w:rPr>
                <w:rFonts w:ascii="Garamond" w:hAnsi="Garamond"/>
                <w:sz w:val="24"/>
                <w:szCs w:val="24"/>
              </w:rPr>
            </w:pPr>
          </w:p>
        </w:tc>
      </w:tr>
      <w:tr w:rsidR="00226190" w:rsidRPr="00226190" w14:paraId="0D9C031E" w14:textId="77777777" w:rsidTr="00226190">
        <w:tc>
          <w:tcPr>
            <w:tcW w:w="555" w:type="pct"/>
          </w:tcPr>
          <w:p w14:paraId="3BA7B757" w14:textId="77777777" w:rsidR="00226190" w:rsidRPr="00226190" w:rsidRDefault="00226190" w:rsidP="00BE0EA1">
            <w:pPr>
              <w:rPr>
                <w:rFonts w:ascii="Garamond" w:hAnsi="Garamond"/>
                <w:sz w:val="24"/>
                <w:szCs w:val="24"/>
              </w:rPr>
            </w:pPr>
            <w:proofErr w:type="spellStart"/>
            <w:r w:rsidRPr="00226190">
              <w:rPr>
                <w:rFonts w:ascii="Garamond" w:hAnsi="Garamond"/>
                <w:sz w:val="24"/>
                <w:szCs w:val="24"/>
                <w:lang w:val="es-ES"/>
              </w:rPr>
              <w:t>Habtie</w:t>
            </w:r>
            <w:proofErr w:type="spellEnd"/>
            <w:r w:rsidRPr="00226190">
              <w:rPr>
                <w:rFonts w:ascii="Garamond" w:hAnsi="Garamond"/>
                <w:sz w:val="24"/>
                <w:szCs w:val="24"/>
                <w:lang w:val="es-ES"/>
              </w:rPr>
              <w:t xml:space="preserve">, T. E., </w:t>
            </w:r>
            <w:proofErr w:type="spellStart"/>
            <w:r w:rsidRPr="00226190">
              <w:rPr>
                <w:rFonts w:ascii="Garamond" w:hAnsi="Garamond"/>
                <w:sz w:val="24"/>
                <w:szCs w:val="24"/>
                <w:lang w:val="es-ES"/>
              </w:rPr>
              <w:t>Fenta</w:t>
            </w:r>
            <w:proofErr w:type="spellEnd"/>
            <w:r w:rsidRPr="00226190">
              <w:rPr>
                <w:rFonts w:ascii="Garamond" w:hAnsi="Garamond"/>
                <w:sz w:val="24"/>
                <w:szCs w:val="24"/>
                <w:lang w:val="es-ES"/>
              </w:rPr>
              <w:t xml:space="preserve">, A. A., &amp; Gashaw, </w:t>
            </w:r>
            <w:r w:rsidRPr="00226190">
              <w:rPr>
                <w:rFonts w:ascii="Garamond" w:hAnsi="Garamond"/>
                <w:sz w:val="24"/>
                <w:szCs w:val="24"/>
                <w:lang w:val="es-ES"/>
              </w:rPr>
              <w:lastRenderedPageBreak/>
              <w:t xml:space="preserve">A. (2025). </w:t>
            </w:r>
            <w:r w:rsidRPr="00226190">
              <w:rPr>
                <w:rFonts w:ascii="Garamond" w:hAnsi="Garamond"/>
                <w:sz w:val="24"/>
                <w:szCs w:val="24"/>
              </w:rPr>
              <w:t xml:space="preserve">Beyond compliance: examining the completeness and adherence to the WHO surgical safety checklist. </w:t>
            </w:r>
            <w:r w:rsidRPr="00226190">
              <w:rPr>
                <w:rFonts w:ascii="Garamond" w:hAnsi="Garamond"/>
                <w:i/>
                <w:iCs/>
                <w:sz w:val="24"/>
                <w:szCs w:val="24"/>
              </w:rPr>
              <w:t>BMC Health Services Research, 25</w:t>
            </w:r>
            <w:r w:rsidRPr="00226190">
              <w:rPr>
                <w:rFonts w:ascii="Garamond" w:hAnsi="Garamond"/>
                <w:sz w:val="24"/>
                <w:szCs w:val="24"/>
              </w:rPr>
              <w:t>, 12569. https://doi.org/10.1186/s12913-025-12569-0</w:t>
            </w:r>
          </w:p>
        </w:tc>
        <w:tc>
          <w:tcPr>
            <w:tcW w:w="556" w:type="pct"/>
          </w:tcPr>
          <w:p w14:paraId="2C3165DD"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Surgical teams and operations in </w:t>
            </w:r>
            <w:r w:rsidRPr="00226190">
              <w:rPr>
                <w:rFonts w:ascii="Garamond" w:hAnsi="Garamond"/>
                <w:sz w:val="24"/>
                <w:szCs w:val="24"/>
              </w:rPr>
              <w:lastRenderedPageBreak/>
              <w:t>hospitals globally (or in selected hospitals from the included studies). The population includes surgical procedures and their associated checklist adherence and compliance data.</w:t>
            </w:r>
          </w:p>
          <w:p w14:paraId="7E1DA047" w14:textId="77777777" w:rsidR="00226190" w:rsidRPr="00226190" w:rsidRDefault="00226190" w:rsidP="00BE0EA1">
            <w:pPr>
              <w:rPr>
                <w:rFonts w:ascii="Garamond" w:hAnsi="Garamond"/>
                <w:sz w:val="24"/>
                <w:szCs w:val="24"/>
              </w:rPr>
            </w:pPr>
          </w:p>
        </w:tc>
        <w:tc>
          <w:tcPr>
            <w:tcW w:w="556" w:type="pct"/>
          </w:tcPr>
          <w:p w14:paraId="519AD18E"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Systematic review and meta-</w:t>
            </w:r>
            <w:r w:rsidRPr="00226190">
              <w:rPr>
                <w:rFonts w:ascii="Garamond" w:hAnsi="Garamond"/>
                <w:sz w:val="24"/>
                <w:szCs w:val="24"/>
              </w:rPr>
              <w:lastRenderedPageBreak/>
              <w:t>analysis of observational studies measuring compliance (completion rate) with individual parts of the WHO Surgical Safety Checklist (Sign In, Time Out, Sign Out). The authors pooled data to estimate compliance proportions and analyzed factors associated with adherence.</w:t>
            </w:r>
          </w:p>
        </w:tc>
        <w:tc>
          <w:tcPr>
            <w:tcW w:w="556" w:type="pct"/>
          </w:tcPr>
          <w:p w14:paraId="3B6627E7" w14:textId="77777777" w:rsidR="00226190" w:rsidRPr="00226190" w:rsidRDefault="00226190" w:rsidP="00BE0EA1">
            <w:pPr>
              <w:rPr>
                <w:rFonts w:ascii="Garamond" w:hAnsi="Garamond"/>
                <w:b/>
                <w:bCs/>
                <w:sz w:val="24"/>
                <w:szCs w:val="24"/>
              </w:rPr>
            </w:pPr>
            <w:r w:rsidRPr="00226190">
              <w:rPr>
                <w:rFonts w:ascii="Garamond" w:hAnsi="Garamond"/>
                <w:b/>
                <w:bCs/>
                <w:sz w:val="24"/>
                <w:szCs w:val="24"/>
              </w:rPr>
              <w:lastRenderedPageBreak/>
              <w:t xml:space="preserve">Independent variables: </w:t>
            </w:r>
            <w:r w:rsidRPr="00226190">
              <w:rPr>
                <w:rFonts w:ascii="Garamond" w:hAnsi="Garamond"/>
                <w:sz w:val="24"/>
                <w:szCs w:val="24"/>
              </w:rPr>
              <w:t>instituti</w:t>
            </w:r>
            <w:r w:rsidRPr="00226190">
              <w:rPr>
                <w:rFonts w:ascii="Garamond" w:hAnsi="Garamond"/>
                <w:sz w:val="24"/>
                <w:szCs w:val="24"/>
              </w:rPr>
              <w:lastRenderedPageBreak/>
              <w:t>onal setting, checklist component (Sign In, Time Out, Sign Out), monitoring practices</w:t>
            </w:r>
          </w:p>
          <w:p w14:paraId="5915914C" w14:textId="77777777" w:rsidR="00226190" w:rsidRPr="00226190" w:rsidRDefault="00226190" w:rsidP="00BE0EA1">
            <w:pPr>
              <w:rPr>
                <w:rFonts w:ascii="Garamond" w:hAnsi="Garamond"/>
                <w:b/>
                <w:bCs/>
                <w:sz w:val="24"/>
                <w:szCs w:val="24"/>
              </w:rPr>
            </w:pPr>
          </w:p>
          <w:p w14:paraId="2B73FC48" w14:textId="77777777" w:rsidR="00226190" w:rsidRPr="00226190" w:rsidRDefault="00226190" w:rsidP="00BE0EA1">
            <w:pPr>
              <w:rPr>
                <w:rFonts w:ascii="Garamond" w:hAnsi="Garamond"/>
                <w:b/>
                <w:bCs/>
                <w:sz w:val="24"/>
                <w:szCs w:val="24"/>
              </w:rPr>
            </w:pPr>
            <w:r w:rsidRPr="00226190">
              <w:rPr>
                <w:rFonts w:ascii="Garamond" w:hAnsi="Garamond"/>
                <w:b/>
                <w:bCs/>
                <w:sz w:val="24"/>
                <w:szCs w:val="24"/>
              </w:rPr>
              <w:t xml:space="preserve">Dependent variable: </w:t>
            </w:r>
            <w:r w:rsidRPr="00226190">
              <w:rPr>
                <w:rFonts w:ascii="Garamond" w:hAnsi="Garamond"/>
                <w:sz w:val="24"/>
                <w:szCs w:val="24"/>
              </w:rPr>
              <w:t>proportion of checklist adherence / completeness (percent of procedures in which each component was completed)</w:t>
            </w:r>
          </w:p>
          <w:p w14:paraId="1BA230AC" w14:textId="77777777" w:rsidR="00226190" w:rsidRPr="00226190" w:rsidRDefault="00226190" w:rsidP="00BE0EA1">
            <w:pPr>
              <w:rPr>
                <w:rFonts w:ascii="Garamond" w:hAnsi="Garamond"/>
                <w:b/>
                <w:bCs/>
                <w:sz w:val="24"/>
                <w:szCs w:val="24"/>
              </w:rPr>
            </w:pPr>
          </w:p>
        </w:tc>
        <w:tc>
          <w:tcPr>
            <w:tcW w:w="556" w:type="pct"/>
          </w:tcPr>
          <w:p w14:paraId="3831FA25"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theme is that while the </w:t>
            </w:r>
            <w:r w:rsidRPr="00226190">
              <w:rPr>
                <w:rFonts w:ascii="Garamond" w:hAnsi="Garamond"/>
                <w:sz w:val="24"/>
                <w:szCs w:val="24"/>
              </w:rPr>
              <w:lastRenderedPageBreak/>
              <w:t>WHO surgical safety checklist is widely adopted, actual compliance (i.e. completing all items) is suboptimal, and measuring not just existence but completeness matters.</w:t>
            </w:r>
          </w:p>
        </w:tc>
        <w:tc>
          <w:tcPr>
            <w:tcW w:w="556" w:type="pct"/>
          </w:tcPr>
          <w:p w14:paraId="7056381A"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pooled overall compliance rate </w:t>
            </w:r>
            <w:r w:rsidRPr="00226190">
              <w:rPr>
                <w:rFonts w:ascii="Garamond" w:hAnsi="Garamond"/>
                <w:sz w:val="24"/>
                <w:szCs w:val="24"/>
              </w:rPr>
              <w:lastRenderedPageBreak/>
              <w:t>was -73% (95% CI: 62%–85%), which is significantly below ideal (100%). For subcomponents: ~76% for Sign In, ~61% for Time Out, ~62% for Sign Out.</w:t>
            </w:r>
          </w:p>
        </w:tc>
        <w:tc>
          <w:tcPr>
            <w:tcW w:w="556" w:type="pct"/>
          </w:tcPr>
          <w:p w14:paraId="36B33568"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This aligns with literature </w:t>
            </w:r>
            <w:r w:rsidRPr="00226190">
              <w:rPr>
                <w:rFonts w:ascii="Garamond" w:hAnsi="Garamond"/>
                <w:sz w:val="24"/>
                <w:szCs w:val="24"/>
              </w:rPr>
              <w:lastRenderedPageBreak/>
              <w:t>showing that checklist implementation often falls short in real-world settings and that compliance monitoring is crucial.</w:t>
            </w:r>
          </w:p>
          <w:p w14:paraId="1414A948" w14:textId="77777777" w:rsidR="00226190" w:rsidRPr="00226190" w:rsidRDefault="00226190" w:rsidP="00BE0EA1">
            <w:pPr>
              <w:rPr>
                <w:rFonts w:ascii="Garamond" w:hAnsi="Garamond"/>
                <w:sz w:val="24"/>
                <w:szCs w:val="24"/>
              </w:rPr>
            </w:pPr>
          </w:p>
        </w:tc>
        <w:tc>
          <w:tcPr>
            <w:tcW w:w="556" w:type="pct"/>
          </w:tcPr>
          <w:p w14:paraId="77AEE21B"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Not directly quantified. The assumpti</w:t>
            </w:r>
            <w:r w:rsidRPr="00226190">
              <w:rPr>
                <w:rFonts w:ascii="Garamond" w:hAnsi="Garamond"/>
                <w:sz w:val="24"/>
                <w:szCs w:val="24"/>
              </w:rPr>
              <w:lastRenderedPageBreak/>
              <w:t>on is that better adherence leads to reductions in surgical complications (and their associated costs) which could yield savings.</w:t>
            </w:r>
          </w:p>
        </w:tc>
        <w:tc>
          <w:tcPr>
            <w:tcW w:w="556" w:type="pct"/>
          </w:tcPr>
          <w:p w14:paraId="0B25136F"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Based on observational data in </w:t>
            </w:r>
            <w:r w:rsidRPr="00226190">
              <w:rPr>
                <w:rFonts w:ascii="Garamond" w:hAnsi="Garamond"/>
                <w:sz w:val="24"/>
                <w:szCs w:val="24"/>
              </w:rPr>
              <w:lastRenderedPageBreak/>
              <w:t>published studies</w:t>
            </w:r>
          </w:p>
          <w:p w14:paraId="286732E9" w14:textId="77777777" w:rsidR="00226190" w:rsidRPr="00226190" w:rsidRDefault="00226190" w:rsidP="00BE0EA1">
            <w:pPr>
              <w:rPr>
                <w:rFonts w:ascii="Garamond" w:hAnsi="Garamond"/>
                <w:sz w:val="24"/>
                <w:szCs w:val="24"/>
              </w:rPr>
            </w:pPr>
          </w:p>
          <w:p w14:paraId="1A18E738" w14:textId="77777777" w:rsidR="00226190" w:rsidRPr="00226190" w:rsidRDefault="00226190" w:rsidP="00BE0EA1">
            <w:pPr>
              <w:rPr>
                <w:rFonts w:ascii="Garamond" w:hAnsi="Garamond"/>
                <w:sz w:val="24"/>
                <w:szCs w:val="24"/>
              </w:rPr>
            </w:pPr>
            <w:r w:rsidRPr="00226190">
              <w:rPr>
                <w:rFonts w:ascii="Garamond" w:hAnsi="Garamond"/>
                <w:sz w:val="24"/>
                <w:szCs w:val="24"/>
              </w:rPr>
              <w:t>Heterogeneity in how compliance is measured across studies</w:t>
            </w:r>
          </w:p>
          <w:p w14:paraId="486B0943" w14:textId="77777777" w:rsidR="00226190" w:rsidRPr="00226190" w:rsidRDefault="00226190" w:rsidP="00BE0EA1">
            <w:pPr>
              <w:rPr>
                <w:rFonts w:ascii="Garamond" w:hAnsi="Garamond"/>
                <w:sz w:val="24"/>
                <w:szCs w:val="24"/>
              </w:rPr>
            </w:pPr>
          </w:p>
          <w:p w14:paraId="4D4F38D7" w14:textId="77777777" w:rsidR="00226190" w:rsidRPr="00226190" w:rsidRDefault="00226190" w:rsidP="00BE0EA1">
            <w:pPr>
              <w:rPr>
                <w:rFonts w:ascii="Garamond" w:hAnsi="Garamond"/>
                <w:sz w:val="24"/>
                <w:szCs w:val="24"/>
              </w:rPr>
            </w:pPr>
            <w:r w:rsidRPr="00226190">
              <w:rPr>
                <w:rFonts w:ascii="Garamond" w:hAnsi="Garamond"/>
                <w:sz w:val="24"/>
                <w:szCs w:val="24"/>
              </w:rPr>
              <w:t>Potential publication bias (studies with low compliance less likely to publish)</w:t>
            </w:r>
          </w:p>
          <w:p w14:paraId="7344605A" w14:textId="77777777" w:rsidR="00226190" w:rsidRPr="00226190" w:rsidRDefault="00226190" w:rsidP="00BE0EA1">
            <w:pPr>
              <w:rPr>
                <w:rFonts w:ascii="Garamond" w:hAnsi="Garamond"/>
                <w:sz w:val="24"/>
                <w:szCs w:val="24"/>
              </w:rPr>
            </w:pPr>
          </w:p>
          <w:p w14:paraId="21314B24" w14:textId="77777777" w:rsidR="00226190" w:rsidRPr="00226190" w:rsidRDefault="00226190" w:rsidP="00BE0EA1">
            <w:pPr>
              <w:rPr>
                <w:rFonts w:ascii="Garamond" w:hAnsi="Garamond"/>
                <w:sz w:val="24"/>
                <w:szCs w:val="24"/>
              </w:rPr>
            </w:pPr>
            <w:r w:rsidRPr="00226190">
              <w:rPr>
                <w:rFonts w:ascii="Garamond" w:hAnsi="Garamond"/>
                <w:sz w:val="24"/>
                <w:szCs w:val="24"/>
              </w:rPr>
              <w:t>The review does not link compliance directly to patient outcomes or cost savings</w:t>
            </w:r>
          </w:p>
          <w:p w14:paraId="7B1C7406" w14:textId="77777777" w:rsidR="00226190" w:rsidRPr="00226190" w:rsidRDefault="00226190" w:rsidP="00BE0EA1">
            <w:pPr>
              <w:rPr>
                <w:rFonts w:ascii="Garamond" w:hAnsi="Garamond"/>
                <w:sz w:val="24"/>
                <w:szCs w:val="24"/>
              </w:rPr>
            </w:pPr>
          </w:p>
        </w:tc>
      </w:tr>
      <w:tr w:rsidR="00226190" w:rsidRPr="00226190" w14:paraId="1978AE2B" w14:textId="77777777" w:rsidTr="00226190">
        <w:tc>
          <w:tcPr>
            <w:tcW w:w="5000" w:type="pct"/>
            <w:gridSpan w:val="9"/>
            <w:shd w:val="clear" w:color="auto" w:fill="ADADAD" w:themeFill="background2" w:themeFillShade="BF"/>
          </w:tcPr>
          <w:p w14:paraId="35304FF8" w14:textId="77777777" w:rsidR="00226190" w:rsidRPr="00226190" w:rsidRDefault="00226190" w:rsidP="00BE0EA1">
            <w:pPr>
              <w:rPr>
                <w:rFonts w:ascii="Garamond" w:hAnsi="Garamond"/>
                <w:b/>
                <w:bCs/>
                <w:sz w:val="24"/>
                <w:szCs w:val="24"/>
              </w:rPr>
            </w:pPr>
            <w:r w:rsidRPr="00226190">
              <w:rPr>
                <w:rFonts w:ascii="Garamond" w:hAnsi="Garamond"/>
                <w:b/>
                <w:bCs/>
                <w:sz w:val="24"/>
                <w:szCs w:val="24"/>
              </w:rPr>
              <w:t>Checklists in Applied Behavior Analysis: Direct application of checklists in ABA or staff performance within human service/education settings.</w:t>
            </w:r>
          </w:p>
        </w:tc>
      </w:tr>
      <w:tr w:rsidR="00226190" w:rsidRPr="00226190" w14:paraId="3791EE61" w14:textId="77777777" w:rsidTr="00226190">
        <w:tc>
          <w:tcPr>
            <w:tcW w:w="555" w:type="pct"/>
          </w:tcPr>
          <w:p w14:paraId="45BE6FA1"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Russell, S. M., Mujic, N., &amp; </w:t>
            </w:r>
            <w:proofErr w:type="spellStart"/>
            <w:r w:rsidRPr="00226190">
              <w:rPr>
                <w:rFonts w:ascii="Garamond" w:hAnsi="Garamond"/>
                <w:sz w:val="24"/>
                <w:szCs w:val="24"/>
              </w:rPr>
              <w:t>Katsiyan</w:t>
            </w:r>
            <w:r w:rsidRPr="00226190">
              <w:rPr>
                <w:rFonts w:ascii="Garamond" w:hAnsi="Garamond"/>
                <w:sz w:val="24"/>
                <w:szCs w:val="24"/>
              </w:rPr>
              <w:lastRenderedPageBreak/>
              <w:t>nis</w:t>
            </w:r>
            <w:proofErr w:type="spellEnd"/>
            <w:r w:rsidRPr="00226190">
              <w:rPr>
                <w:rFonts w:ascii="Garamond" w:hAnsi="Garamond"/>
                <w:sz w:val="24"/>
                <w:szCs w:val="24"/>
              </w:rPr>
              <w:t xml:space="preserve">, A. (2020). The use of the Performance Diagnostic Checklist–Human (PDC-H) to identify sources of staff performance problems. </w:t>
            </w:r>
            <w:r w:rsidRPr="00226190">
              <w:rPr>
                <w:rFonts w:ascii="Garamond" w:hAnsi="Garamond"/>
                <w:i/>
                <w:iCs/>
                <w:sz w:val="24"/>
                <w:szCs w:val="24"/>
              </w:rPr>
              <w:t>Journal of Behavioral Education, 29</w:t>
            </w:r>
            <w:r w:rsidRPr="00226190">
              <w:rPr>
                <w:rFonts w:ascii="Garamond" w:hAnsi="Garamond"/>
                <w:sz w:val="24"/>
                <w:szCs w:val="24"/>
              </w:rPr>
              <w:t>(3), 531–553. https://doi.org/10.1007/s10864-020-09384-9</w:t>
            </w:r>
          </w:p>
        </w:tc>
        <w:tc>
          <w:tcPr>
            <w:tcW w:w="556" w:type="pct"/>
          </w:tcPr>
          <w:p w14:paraId="35CD3C52"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The study focused on staff member</w:t>
            </w:r>
            <w:r w:rsidRPr="00226190">
              <w:rPr>
                <w:rFonts w:ascii="Garamond" w:hAnsi="Garamond"/>
                <w:sz w:val="24"/>
                <w:szCs w:val="24"/>
              </w:rPr>
              <w:lastRenderedPageBreak/>
              <w:t>s (direct care workers) employed in human service settings.</w:t>
            </w:r>
          </w:p>
          <w:p w14:paraId="1D8FDE8C" w14:textId="77777777" w:rsidR="00226190" w:rsidRPr="00226190" w:rsidRDefault="00226190" w:rsidP="00BE0EA1">
            <w:pPr>
              <w:rPr>
                <w:rFonts w:ascii="Garamond" w:hAnsi="Garamond"/>
                <w:sz w:val="24"/>
                <w:szCs w:val="24"/>
              </w:rPr>
            </w:pPr>
          </w:p>
          <w:p w14:paraId="335962A6" w14:textId="77777777" w:rsidR="00226190" w:rsidRPr="00226190" w:rsidRDefault="00226190" w:rsidP="00BE0EA1">
            <w:pPr>
              <w:rPr>
                <w:rFonts w:ascii="Garamond" w:hAnsi="Garamond"/>
                <w:sz w:val="24"/>
                <w:szCs w:val="24"/>
              </w:rPr>
            </w:pPr>
            <w:r w:rsidRPr="00226190">
              <w:rPr>
                <w:rFonts w:ascii="Garamond" w:hAnsi="Garamond"/>
                <w:sz w:val="24"/>
                <w:szCs w:val="24"/>
              </w:rPr>
              <w:t>These were individuals responsible for client care but who were showing performance deficits (e.g., not consistently implementing required tasks or procedures).</w:t>
            </w:r>
          </w:p>
          <w:p w14:paraId="072A4037" w14:textId="77777777" w:rsidR="00226190" w:rsidRPr="00226190" w:rsidRDefault="00226190" w:rsidP="00BE0EA1">
            <w:pPr>
              <w:rPr>
                <w:rFonts w:ascii="Garamond" w:hAnsi="Garamond"/>
                <w:sz w:val="24"/>
                <w:szCs w:val="24"/>
              </w:rPr>
            </w:pPr>
          </w:p>
          <w:p w14:paraId="7AEE4383"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The checklist was applied to </w:t>
            </w:r>
            <w:r w:rsidRPr="00226190">
              <w:rPr>
                <w:rFonts w:ascii="Garamond" w:hAnsi="Garamond"/>
                <w:i/>
                <w:iCs/>
                <w:sz w:val="24"/>
                <w:szCs w:val="24"/>
              </w:rPr>
              <w:t>staff behavior</w:t>
            </w:r>
            <w:r w:rsidRPr="00226190">
              <w:rPr>
                <w:rFonts w:ascii="Garamond" w:hAnsi="Garamond"/>
                <w:sz w:val="24"/>
                <w:szCs w:val="24"/>
              </w:rPr>
              <w:t>, not directly to clients receiving ABA services.</w:t>
            </w:r>
          </w:p>
          <w:p w14:paraId="21A0E803" w14:textId="77777777" w:rsidR="00226190" w:rsidRPr="00226190" w:rsidRDefault="00226190" w:rsidP="00BE0EA1">
            <w:pPr>
              <w:rPr>
                <w:rFonts w:ascii="Garamond" w:hAnsi="Garamond"/>
                <w:sz w:val="24"/>
                <w:szCs w:val="24"/>
              </w:rPr>
            </w:pPr>
          </w:p>
        </w:tc>
        <w:tc>
          <w:tcPr>
            <w:tcW w:w="556" w:type="pct"/>
          </w:tcPr>
          <w:p w14:paraId="34F17276"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researchers used a multiple </w:t>
            </w:r>
            <w:r w:rsidRPr="00226190">
              <w:rPr>
                <w:rFonts w:ascii="Garamond" w:hAnsi="Garamond"/>
                <w:sz w:val="24"/>
                <w:szCs w:val="24"/>
              </w:rPr>
              <w:lastRenderedPageBreak/>
              <w:t>treatment design to evaluate the impact of interventions guided by the PDC-H.</w:t>
            </w:r>
          </w:p>
          <w:p w14:paraId="2DC0FBA0" w14:textId="77777777" w:rsidR="00226190" w:rsidRPr="00226190" w:rsidRDefault="00226190" w:rsidP="00BE0EA1">
            <w:pPr>
              <w:rPr>
                <w:rFonts w:ascii="Garamond" w:hAnsi="Garamond"/>
                <w:sz w:val="24"/>
                <w:szCs w:val="24"/>
              </w:rPr>
            </w:pPr>
          </w:p>
          <w:p w14:paraId="5F81EC09" w14:textId="77777777" w:rsidR="00226190" w:rsidRPr="00226190" w:rsidRDefault="00226190" w:rsidP="00BE0EA1">
            <w:pPr>
              <w:rPr>
                <w:rFonts w:ascii="Garamond" w:hAnsi="Garamond"/>
                <w:sz w:val="24"/>
                <w:szCs w:val="24"/>
              </w:rPr>
            </w:pPr>
            <w:r w:rsidRPr="00226190">
              <w:rPr>
                <w:rFonts w:ascii="Garamond" w:hAnsi="Garamond"/>
                <w:sz w:val="24"/>
                <w:szCs w:val="24"/>
              </w:rPr>
              <w:t>The PDC-H checklist was administered to supervisors to systematically identify potential environmental variables that might be contributing to staff performance problems.</w:t>
            </w:r>
          </w:p>
          <w:p w14:paraId="1648F6FB" w14:textId="77777777" w:rsidR="00226190" w:rsidRPr="00226190" w:rsidRDefault="00226190" w:rsidP="00BE0EA1">
            <w:pPr>
              <w:rPr>
                <w:rFonts w:ascii="Garamond" w:hAnsi="Garamond"/>
                <w:sz w:val="24"/>
                <w:szCs w:val="24"/>
              </w:rPr>
            </w:pPr>
          </w:p>
          <w:p w14:paraId="0837A945"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Based on the checklist results, targeted interventions were </w:t>
            </w:r>
            <w:r w:rsidRPr="00226190">
              <w:rPr>
                <w:rFonts w:ascii="Garamond" w:hAnsi="Garamond"/>
                <w:sz w:val="24"/>
                <w:szCs w:val="24"/>
              </w:rPr>
              <w:lastRenderedPageBreak/>
              <w:t>selected (e.g., improved training, increased feedback, environmental adjustments).</w:t>
            </w:r>
          </w:p>
          <w:p w14:paraId="5A656460" w14:textId="77777777" w:rsidR="00226190" w:rsidRPr="00226190" w:rsidRDefault="00226190" w:rsidP="00BE0EA1">
            <w:pPr>
              <w:rPr>
                <w:rFonts w:ascii="Garamond" w:hAnsi="Garamond"/>
                <w:sz w:val="24"/>
                <w:szCs w:val="24"/>
              </w:rPr>
            </w:pPr>
          </w:p>
          <w:p w14:paraId="7EC8AC6F" w14:textId="77777777" w:rsidR="00226190" w:rsidRPr="00226190" w:rsidRDefault="00226190" w:rsidP="00BE0EA1">
            <w:pPr>
              <w:rPr>
                <w:rFonts w:ascii="Garamond" w:hAnsi="Garamond"/>
                <w:sz w:val="24"/>
                <w:szCs w:val="24"/>
              </w:rPr>
            </w:pPr>
            <w:r w:rsidRPr="00226190">
              <w:rPr>
                <w:rFonts w:ascii="Garamond" w:hAnsi="Garamond"/>
                <w:sz w:val="24"/>
                <w:szCs w:val="24"/>
              </w:rPr>
              <w:t>Staff performance was then measured under baseline and intervention phases to determine whether the checklist-guided strategies improved accuracy and consistency of job tasks.</w:t>
            </w:r>
          </w:p>
          <w:p w14:paraId="738C1E4D" w14:textId="77777777" w:rsidR="00226190" w:rsidRPr="00226190" w:rsidRDefault="00226190" w:rsidP="00BE0EA1">
            <w:pPr>
              <w:rPr>
                <w:rFonts w:ascii="Garamond" w:hAnsi="Garamond"/>
                <w:sz w:val="24"/>
                <w:szCs w:val="24"/>
              </w:rPr>
            </w:pPr>
          </w:p>
          <w:p w14:paraId="6173531A"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Data were collected using </w:t>
            </w:r>
            <w:r w:rsidRPr="00226190">
              <w:rPr>
                <w:rFonts w:ascii="Garamond" w:hAnsi="Garamond"/>
                <w:sz w:val="24"/>
                <w:szCs w:val="24"/>
              </w:rPr>
              <w:lastRenderedPageBreak/>
              <w:t>direct observation of staff behavior, with performance scored as correct or incorrect across defined tasks.</w:t>
            </w:r>
          </w:p>
          <w:p w14:paraId="2047F246" w14:textId="77777777" w:rsidR="00226190" w:rsidRPr="00226190" w:rsidRDefault="00226190" w:rsidP="00BE0EA1">
            <w:pPr>
              <w:rPr>
                <w:rFonts w:ascii="Garamond" w:hAnsi="Garamond"/>
                <w:sz w:val="24"/>
                <w:szCs w:val="24"/>
              </w:rPr>
            </w:pPr>
          </w:p>
        </w:tc>
        <w:tc>
          <w:tcPr>
            <w:tcW w:w="556" w:type="pct"/>
          </w:tcPr>
          <w:p w14:paraId="03263B81" w14:textId="77777777" w:rsidR="00226190" w:rsidRPr="00226190" w:rsidRDefault="00226190" w:rsidP="00BE0EA1">
            <w:pPr>
              <w:rPr>
                <w:rFonts w:ascii="Garamond" w:hAnsi="Garamond"/>
                <w:b/>
                <w:bCs/>
                <w:sz w:val="24"/>
                <w:szCs w:val="24"/>
              </w:rPr>
            </w:pPr>
            <w:r w:rsidRPr="00226190">
              <w:rPr>
                <w:rFonts w:ascii="Garamond" w:hAnsi="Garamond"/>
                <w:b/>
                <w:bCs/>
                <w:sz w:val="24"/>
                <w:szCs w:val="24"/>
              </w:rPr>
              <w:lastRenderedPageBreak/>
              <w:t xml:space="preserve">Independent Variable </w:t>
            </w:r>
          </w:p>
          <w:p w14:paraId="6CC56FB2"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The interventions selected based on the PDC-H results.</w:t>
            </w:r>
          </w:p>
          <w:p w14:paraId="6D5AE378" w14:textId="77777777" w:rsidR="00226190" w:rsidRPr="00226190" w:rsidRDefault="00226190" w:rsidP="00BE0EA1">
            <w:pPr>
              <w:rPr>
                <w:rFonts w:ascii="Garamond" w:hAnsi="Garamond"/>
                <w:sz w:val="24"/>
                <w:szCs w:val="24"/>
              </w:rPr>
            </w:pPr>
          </w:p>
          <w:p w14:paraId="52D56169" w14:textId="77777777" w:rsidR="00226190" w:rsidRPr="00226190" w:rsidRDefault="00226190" w:rsidP="00BE0EA1">
            <w:pPr>
              <w:rPr>
                <w:rFonts w:ascii="Garamond" w:hAnsi="Garamond"/>
                <w:sz w:val="24"/>
                <w:szCs w:val="24"/>
              </w:rPr>
            </w:pPr>
            <w:r w:rsidRPr="00226190">
              <w:rPr>
                <w:rFonts w:ascii="Garamond" w:hAnsi="Garamond"/>
                <w:sz w:val="24"/>
                <w:szCs w:val="24"/>
              </w:rPr>
              <w:t>These varied depending on what the checklist identified as barriers (e.g., training, prompts, feedback, environmental supports).</w:t>
            </w:r>
          </w:p>
          <w:p w14:paraId="5F06EBDC" w14:textId="77777777" w:rsidR="00226190" w:rsidRPr="00226190" w:rsidRDefault="00226190" w:rsidP="00BE0EA1">
            <w:pPr>
              <w:rPr>
                <w:rFonts w:ascii="Garamond" w:hAnsi="Garamond"/>
                <w:b/>
                <w:bCs/>
                <w:sz w:val="24"/>
                <w:szCs w:val="24"/>
              </w:rPr>
            </w:pPr>
          </w:p>
          <w:p w14:paraId="27933449" w14:textId="77777777" w:rsidR="00226190" w:rsidRPr="00226190" w:rsidRDefault="00226190" w:rsidP="00BE0EA1">
            <w:pPr>
              <w:rPr>
                <w:rFonts w:ascii="Garamond" w:hAnsi="Garamond"/>
                <w:sz w:val="24"/>
                <w:szCs w:val="24"/>
              </w:rPr>
            </w:pPr>
            <w:r w:rsidRPr="00226190">
              <w:rPr>
                <w:rFonts w:ascii="Garamond" w:hAnsi="Garamond"/>
                <w:b/>
                <w:bCs/>
                <w:sz w:val="24"/>
                <w:szCs w:val="24"/>
              </w:rPr>
              <w:t xml:space="preserve">Dependent Variable </w:t>
            </w:r>
          </w:p>
          <w:p w14:paraId="5549946F" w14:textId="77777777" w:rsidR="00226190" w:rsidRPr="00226190" w:rsidRDefault="00226190" w:rsidP="00BE0EA1">
            <w:pPr>
              <w:rPr>
                <w:rFonts w:ascii="Garamond" w:hAnsi="Garamond"/>
                <w:sz w:val="24"/>
                <w:szCs w:val="24"/>
              </w:rPr>
            </w:pPr>
            <w:r w:rsidRPr="00226190">
              <w:rPr>
                <w:rFonts w:ascii="Garamond" w:hAnsi="Garamond"/>
                <w:sz w:val="24"/>
                <w:szCs w:val="24"/>
              </w:rPr>
              <w:t>The accuracy of staff performance on their assigned tasks.</w:t>
            </w:r>
          </w:p>
          <w:p w14:paraId="02D03DD8" w14:textId="77777777" w:rsidR="00226190" w:rsidRPr="00226190" w:rsidRDefault="00226190" w:rsidP="00BE0EA1">
            <w:pPr>
              <w:rPr>
                <w:rFonts w:ascii="Garamond" w:hAnsi="Garamond"/>
                <w:sz w:val="24"/>
                <w:szCs w:val="24"/>
              </w:rPr>
            </w:pPr>
          </w:p>
          <w:p w14:paraId="09E140F1" w14:textId="77777777" w:rsidR="00226190" w:rsidRPr="00226190" w:rsidRDefault="00226190" w:rsidP="00BE0EA1">
            <w:pPr>
              <w:rPr>
                <w:rFonts w:ascii="Garamond" w:hAnsi="Garamond"/>
                <w:sz w:val="24"/>
                <w:szCs w:val="24"/>
              </w:rPr>
            </w:pPr>
            <w:r w:rsidRPr="00226190">
              <w:rPr>
                <w:rFonts w:ascii="Garamond" w:hAnsi="Garamond"/>
                <w:sz w:val="24"/>
                <w:szCs w:val="24"/>
              </w:rPr>
              <w:t>Measured through direct observat</w:t>
            </w:r>
            <w:r w:rsidRPr="00226190">
              <w:rPr>
                <w:rFonts w:ascii="Garamond" w:hAnsi="Garamond"/>
                <w:sz w:val="24"/>
                <w:szCs w:val="24"/>
              </w:rPr>
              <w:lastRenderedPageBreak/>
              <w:t>ion of whether staff completed specific job responsibilities correctly (scored as correct/incorrect responses).</w:t>
            </w:r>
          </w:p>
          <w:p w14:paraId="21851D3F" w14:textId="77777777" w:rsidR="00226190" w:rsidRPr="00226190" w:rsidRDefault="00226190" w:rsidP="00BE0EA1">
            <w:pPr>
              <w:rPr>
                <w:rFonts w:ascii="Garamond" w:hAnsi="Garamond"/>
                <w:sz w:val="24"/>
                <w:szCs w:val="24"/>
              </w:rPr>
            </w:pPr>
          </w:p>
          <w:p w14:paraId="0ABFAD22" w14:textId="77777777" w:rsidR="00226190" w:rsidRPr="00226190" w:rsidRDefault="00226190" w:rsidP="00BE0EA1">
            <w:pPr>
              <w:rPr>
                <w:rFonts w:ascii="Garamond" w:hAnsi="Garamond"/>
                <w:sz w:val="24"/>
                <w:szCs w:val="24"/>
              </w:rPr>
            </w:pPr>
            <w:r w:rsidRPr="00226190">
              <w:rPr>
                <w:rFonts w:ascii="Garamond" w:hAnsi="Garamond"/>
                <w:sz w:val="24"/>
                <w:szCs w:val="24"/>
              </w:rPr>
              <w:t>Data were summarized as percentage of tasks completed accurately during baseline and intervention phases.</w:t>
            </w:r>
          </w:p>
          <w:p w14:paraId="76619EDE" w14:textId="77777777" w:rsidR="00226190" w:rsidRPr="00226190" w:rsidRDefault="00226190" w:rsidP="00BE0EA1">
            <w:pPr>
              <w:rPr>
                <w:rFonts w:ascii="Garamond" w:hAnsi="Garamond"/>
                <w:b/>
                <w:bCs/>
                <w:sz w:val="24"/>
                <w:szCs w:val="24"/>
              </w:rPr>
            </w:pPr>
          </w:p>
        </w:tc>
        <w:tc>
          <w:tcPr>
            <w:tcW w:w="556" w:type="pct"/>
          </w:tcPr>
          <w:p w14:paraId="1A18A4F9"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Using structured checklists </w:t>
            </w:r>
            <w:r w:rsidRPr="00226190">
              <w:rPr>
                <w:rFonts w:ascii="Garamond" w:hAnsi="Garamond"/>
                <w:sz w:val="24"/>
                <w:szCs w:val="24"/>
              </w:rPr>
              <w:lastRenderedPageBreak/>
              <w:t>(specifically the Performance Diagnostic Checklist–Human, PDC-H) within applied behavior analysis (ABA) to:</w:t>
            </w:r>
          </w:p>
          <w:p w14:paraId="3E7D9922" w14:textId="77777777" w:rsidR="00226190" w:rsidRPr="00226190" w:rsidRDefault="00226190" w:rsidP="00BE0EA1">
            <w:pPr>
              <w:rPr>
                <w:rFonts w:ascii="Garamond" w:hAnsi="Garamond"/>
                <w:sz w:val="24"/>
                <w:szCs w:val="24"/>
              </w:rPr>
            </w:pPr>
          </w:p>
          <w:p w14:paraId="73687B6D" w14:textId="77777777" w:rsidR="00226190" w:rsidRPr="00226190" w:rsidRDefault="00226190" w:rsidP="00BE0EA1">
            <w:pPr>
              <w:rPr>
                <w:rFonts w:ascii="Garamond" w:hAnsi="Garamond"/>
                <w:sz w:val="24"/>
                <w:szCs w:val="24"/>
              </w:rPr>
            </w:pPr>
            <w:r w:rsidRPr="00226190">
              <w:rPr>
                <w:rFonts w:ascii="Garamond" w:hAnsi="Garamond"/>
                <w:sz w:val="24"/>
                <w:szCs w:val="24"/>
              </w:rPr>
              <w:t>Identify the causes of staff performance problems in human service settings.</w:t>
            </w:r>
          </w:p>
          <w:p w14:paraId="0A53E8C8" w14:textId="77777777" w:rsidR="00226190" w:rsidRPr="00226190" w:rsidRDefault="00226190" w:rsidP="00BE0EA1">
            <w:pPr>
              <w:rPr>
                <w:rFonts w:ascii="Garamond" w:hAnsi="Garamond"/>
                <w:sz w:val="24"/>
                <w:szCs w:val="24"/>
              </w:rPr>
            </w:pPr>
          </w:p>
          <w:p w14:paraId="5015EE96" w14:textId="77777777" w:rsidR="00226190" w:rsidRPr="00226190" w:rsidRDefault="00226190" w:rsidP="00BE0EA1">
            <w:pPr>
              <w:rPr>
                <w:rFonts w:ascii="Garamond" w:hAnsi="Garamond"/>
                <w:sz w:val="24"/>
                <w:szCs w:val="24"/>
              </w:rPr>
            </w:pPr>
            <w:r w:rsidRPr="00226190">
              <w:rPr>
                <w:rFonts w:ascii="Garamond" w:hAnsi="Garamond"/>
                <w:sz w:val="24"/>
                <w:szCs w:val="24"/>
              </w:rPr>
              <w:t>Guide the selection of interventions tailored to those identified barriers.</w:t>
            </w:r>
          </w:p>
          <w:p w14:paraId="746ED797" w14:textId="77777777" w:rsidR="00226190" w:rsidRPr="00226190" w:rsidRDefault="00226190" w:rsidP="00BE0EA1">
            <w:pPr>
              <w:rPr>
                <w:rFonts w:ascii="Garamond" w:hAnsi="Garamond"/>
                <w:sz w:val="24"/>
                <w:szCs w:val="24"/>
              </w:rPr>
            </w:pPr>
          </w:p>
          <w:p w14:paraId="5B51B9A9"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Improve treatment integrity and service </w:t>
            </w:r>
            <w:r w:rsidRPr="00226190">
              <w:rPr>
                <w:rFonts w:ascii="Garamond" w:hAnsi="Garamond"/>
                <w:sz w:val="24"/>
                <w:szCs w:val="24"/>
              </w:rPr>
              <w:lastRenderedPageBreak/>
              <w:t>quality by enhancing staff task performance.</w:t>
            </w:r>
          </w:p>
          <w:p w14:paraId="694C6155" w14:textId="77777777" w:rsidR="00226190" w:rsidRPr="00226190" w:rsidRDefault="00226190" w:rsidP="00BE0EA1">
            <w:pPr>
              <w:rPr>
                <w:rFonts w:ascii="Garamond" w:hAnsi="Garamond"/>
                <w:sz w:val="24"/>
                <w:szCs w:val="24"/>
              </w:rPr>
            </w:pPr>
          </w:p>
        </w:tc>
        <w:tc>
          <w:tcPr>
            <w:tcW w:w="556" w:type="pct"/>
          </w:tcPr>
          <w:p w14:paraId="323EEB06"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Performance Diagnostic </w:t>
            </w:r>
            <w:r w:rsidRPr="00226190">
              <w:rPr>
                <w:rFonts w:ascii="Garamond" w:hAnsi="Garamond"/>
                <w:sz w:val="24"/>
                <w:szCs w:val="24"/>
              </w:rPr>
              <w:lastRenderedPageBreak/>
              <w:t>Checklist–Human (PDC-H) successfully identified environmental variables contributing to staff performance problems.</w:t>
            </w:r>
          </w:p>
          <w:p w14:paraId="32CB034C" w14:textId="77777777" w:rsidR="00226190" w:rsidRPr="00226190" w:rsidRDefault="00226190" w:rsidP="00BE0EA1">
            <w:pPr>
              <w:rPr>
                <w:rFonts w:ascii="Garamond" w:hAnsi="Garamond"/>
                <w:sz w:val="24"/>
                <w:szCs w:val="24"/>
              </w:rPr>
            </w:pPr>
          </w:p>
          <w:p w14:paraId="314A4457" w14:textId="77777777" w:rsidR="00226190" w:rsidRPr="00226190" w:rsidRDefault="00226190" w:rsidP="00BE0EA1">
            <w:pPr>
              <w:rPr>
                <w:rFonts w:ascii="Garamond" w:hAnsi="Garamond"/>
                <w:sz w:val="24"/>
                <w:szCs w:val="24"/>
              </w:rPr>
            </w:pPr>
            <w:r w:rsidRPr="00226190">
              <w:rPr>
                <w:rFonts w:ascii="Garamond" w:hAnsi="Garamond"/>
                <w:sz w:val="24"/>
                <w:szCs w:val="24"/>
              </w:rPr>
              <w:t>When interventions were selected based on the checklist results, staff performance improved significantly compared to baseline.</w:t>
            </w:r>
          </w:p>
          <w:p w14:paraId="092C8D42" w14:textId="77777777" w:rsidR="00226190" w:rsidRPr="00226190" w:rsidRDefault="00226190" w:rsidP="00BE0EA1">
            <w:pPr>
              <w:rPr>
                <w:rFonts w:ascii="Garamond" w:hAnsi="Garamond"/>
                <w:sz w:val="24"/>
                <w:szCs w:val="24"/>
              </w:rPr>
            </w:pPr>
          </w:p>
          <w:p w14:paraId="0D33D3AD"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The improvements showed that a function-based, </w:t>
            </w:r>
            <w:r w:rsidRPr="00226190">
              <w:rPr>
                <w:rFonts w:ascii="Garamond" w:hAnsi="Garamond"/>
                <w:sz w:val="24"/>
                <w:szCs w:val="24"/>
              </w:rPr>
              <w:lastRenderedPageBreak/>
              <w:t>checklist-guided approach is more effective than applying generic staff training or feedback alone.</w:t>
            </w:r>
          </w:p>
          <w:p w14:paraId="184C5E41" w14:textId="77777777" w:rsidR="00226190" w:rsidRPr="00226190" w:rsidRDefault="00226190" w:rsidP="00BE0EA1">
            <w:pPr>
              <w:rPr>
                <w:rFonts w:ascii="Garamond" w:hAnsi="Garamond"/>
                <w:sz w:val="24"/>
                <w:szCs w:val="24"/>
              </w:rPr>
            </w:pPr>
          </w:p>
        </w:tc>
        <w:tc>
          <w:tcPr>
            <w:tcW w:w="556" w:type="pct"/>
          </w:tcPr>
          <w:p w14:paraId="44C8A540"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Checklists can improve fidelity and </w:t>
            </w:r>
            <w:r w:rsidRPr="00226190">
              <w:rPr>
                <w:rFonts w:ascii="Garamond" w:hAnsi="Garamond"/>
                <w:sz w:val="24"/>
                <w:szCs w:val="24"/>
              </w:rPr>
              <w:lastRenderedPageBreak/>
              <w:t>performance: Consistent with other studies, structured checklists increase accuracy of task implementation and reduce errors by guiding assessment and intervention decisions.</w:t>
            </w:r>
          </w:p>
          <w:p w14:paraId="60786695" w14:textId="77777777" w:rsidR="00226190" w:rsidRPr="00226190" w:rsidRDefault="00226190" w:rsidP="00BE0EA1">
            <w:pPr>
              <w:rPr>
                <w:rFonts w:ascii="Garamond" w:hAnsi="Garamond"/>
                <w:sz w:val="24"/>
                <w:szCs w:val="24"/>
              </w:rPr>
            </w:pPr>
          </w:p>
          <w:p w14:paraId="06045646"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Assessment-driven interventions are superior: Research across ABA shows that interventions guided by systematic assessment tools (like </w:t>
            </w:r>
            <w:r w:rsidRPr="00226190">
              <w:rPr>
                <w:rFonts w:ascii="Garamond" w:hAnsi="Garamond"/>
                <w:sz w:val="24"/>
                <w:szCs w:val="24"/>
              </w:rPr>
              <w:lastRenderedPageBreak/>
              <w:t>checklists) produce more sustainable behavior change than arbitrary or one-size-fits-all solutions.</w:t>
            </w:r>
          </w:p>
          <w:p w14:paraId="6F6E5D5F" w14:textId="77777777" w:rsidR="00226190" w:rsidRPr="00226190" w:rsidRDefault="00226190" w:rsidP="00BE0EA1">
            <w:pPr>
              <w:rPr>
                <w:rFonts w:ascii="Garamond" w:hAnsi="Garamond"/>
                <w:sz w:val="24"/>
                <w:szCs w:val="24"/>
              </w:rPr>
            </w:pPr>
          </w:p>
          <w:p w14:paraId="7800EA36"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Staff training and support benefit from structure: Echoing broader findings in ABA, staff performance and treatment integrity improve most when supports are data-driven, structured, and individualized rather than relying </w:t>
            </w:r>
            <w:r w:rsidRPr="00226190">
              <w:rPr>
                <w:rFonts w:ascii="Garamond" w:hAnsi="Garamond"/>
                <w:sz w:val="24"/>
                <w:szCs w:val="24"/>
              </w:rPr>
              <w:lastRenderedPageBreak/>
              <w:t>solely on verbal instructions or traditional supervision.</w:t>
            </w:r>
          </w:p>
          <w:p w14:paraId="56261E9D" w14:textId="77777777" w:rsidR="00226190" w:rsidRPr="00226190" w:rsidRDefault="00226190" w:rsidP="00BE0EA1">
            <w:pPr>
              <w:rPr>
                <w:rFonts w:ascii="Garamond" w:hAnsi="Garamond"/>
                <w:sz w:val="24"/>
                <w:szCs w:val="24"/>
              </w:rPr>
            </w:pPr>
          </w:p>
        </w:tc>
        <w:tc>
          <w:tcPr>
            <w:tcW w:w="556" w:type="pct"/>
          </w:tcPr>
          <w:p w14:paraId="0F7156C3"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While the study did not calculate </w:t>
            </w:r>
            <w:r w:rsidRPr="00226190">
              <w:rPr>
                <w:rFonts w:ascii="Garamond" w:hAnsi="Garamond"/>
                <w:sz w:val="24"/>
                <w:szCs w:val="24"/>
              </w:rPr>
              <w:lastRenderedPageBreak/>
              <w:t>a formal dollar amount, the authors noted that:</w:t>
            </w:r>
          </w:p>
          <w:p w14:paraId="0A1A35A2" w14:textId="77777777" w:rsidR="00226190" w:rsidRPr="00226190" w:rsidRDefault="00226190" w:rsidP="00BE0EA1">
            <w:pPr>
              <w:rPr>
                <w:rFonts w:ascii="Garamond" w:hAnsi="Garamond"/>
                <w:sz w:val="24"/>
                <w:szCs w:val="24"/>
              </w:rPr>
            </w:pPr>
          </w:p>
          <w:p w14:paraId="2A884392" w14:textId="77777777" w:rsidR="00226190" w:rsidRPr="00226190" w:rsidRDefault="00226190" w:rsidP="00BE0EA1">
            <w:pPr>
              <w:rPr>
                <w:rFonts w:ascii="Garamond" w:hAnsi="Garamond"/>
                <w:sz w:val="24"/>
                <w:szCs w:val="24"/>
              </w:rPr>
            </w:pPr>
            <w:r w:rsidRPr="00226190">
              <w:rPr>
                <w:rFonts w:ascii="Garamond" w:hAnsi="Garamond"/>
                <w:sz w:val="24"/>
                <w:szCs w:val="24"/>
              </w:rPr>
              <w:t>The PDC-H checklist is low-cost to administer (just an interview tool completed by a supervisor).</w:t>
            </w:r>
          </w:p>
          <w:p w14:paraId="489508F6" w14:textId="77777777" w:rsidR="00226190" w:rsidRPr="00226190" w:rsidRDefault="00226190" w:rsidP="00BE0EA1">
            <w:pPr>
              <w:rPr>
                <w:rFonts w:ascii="Garamond" w:hAnsi="Garamond"/>
                <w:sz w:val="24"/>
                <w:szCs w:val="24"/>
              </w:rPr>
            </w:pPr>
          </w:p>
          <w:p w14:paraId="1885A5CD"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By improving staff performance, the checklist reduces the need for repeated retraining or extended supervision, which can save organizations both time and </w:t>
            </w:r>
            <w:r w:rsidRPr="00226190">
              <w:rPr>
                <w:rFonts w:ascii="Garamond" w:hAnsi="Garamond"/>
                <w:sz w:val="24"/>
                <w:szCs w:val="24"/>
              </w:rPr>
              <w:lastRenderedPageBreak/>
              <w:t>labor costs.</w:t>
            </w:r>
          </w:p>
          <w:p w14:paraId="5A367A8B" w14:textId="77777777" w:rsidR="00226190" w:rsidRPr="00226190" w:rsidRDefault="00226190" w:rsidP="00BE0EA1">
            <w:pPr>
              <w:rPr>
                <w:rFonts w:ascii="Garamond" w:hAnsi="Garamond"/>
                <w:sz w:val="24"/>
                <w:szCs w:val="24"/>
              </w:rPr>
            </w:pPr>
          </w:p>
          <w:p w14:paraId="770814DD" w14:textId="77777777" w:rsidR="00226190" w:rsidRPr="00226190" w:rsidRDefault="00226190" w:rsidP="00BE0EA1">
            <w:pPr>
              <w:rPr>
                <w:rFonts w:ascii="Garamond" w:hAnsi="Garamond"/>
                <w:sz w:val="24"/>
                <w:szCs w:val="24"/>
              </w:rPr>
            </w:pPr>
            <w:r w:rsidRPr="00226190">
              <w:rPr>
                <w:rFonts w:ascii="Garamond" w:hAnsi="Garamond"/>
                <w:sz w:val="24"/>
                <w:szCs w:val="24"/>
              </w:rPr>
              <w:t>Better staff performance also minimizes service delivery errors, which indirectly reduces costs related to poor treatment fidelity, turnover, or compliance issues.</w:t>
            </w:r>
          </w:p>
          <w:p w14:paraId="0C15517B" w14:textId="77777777" w:rsidR="00226190" w:rsidRPr="00226190" w:rsidRDefault="00226190" w:rsidP="00BE0EA1">
            <w:pPr>
              <w:rPr>
                <w:rFonts w:ascii="Garamond" w:hAnsi="Garamond"/>
                <w:sz w:val="24"/>
                <w:szCs w:val="24"/>
              </w:rPr>
            </w:pPr>
          </w:p>
        </w:tc>
        <w:tc>
          <w:tcPr>
            <w:tcW w:w="556" w:type="pct"/>
          </w:tcPr>
          <w:p w14:paraId="28E3A471"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Generality – The study was conduct</w:t>
            </w:r>
            <w:r w:rsidRPr="00226190">
              <w:rPr>
                <w:rFonts w:ascii="Garamond" w:hAnsi="Garamond"/>
                <w:sz w:val="24"/>
                <w:szCs w:val="24"/>
              </w:rPr>
              <w:lastRenderedPageBreak/>
              <w:t>ed in limited human service settings, so results may not generalize to all ABA or healthcare environments.</w:t>
            </w:r>
          </w:p>
          <w:p w14:paraId="402844D7" w14:textId="77777777" w:rsidR="00226190" w:rsidRPr="00226190" w:rsidRDefault="00226190" w:rsidP="00BE0EA1">
            <w:pPr>
              <w:rPr>
                <w:rFonts w:ascii="Garamond" w:hAnsi="Garamond"/>
                <w:sz w:val="24"/>
                <w:szCs w:val="24"/>
              </w:rPr>
            </w:pPr>
          </w:p>
          <w:p w14:paraId="63E5B203" w14:textId="77777777" w:rsidR="00226190" w:rsidRPr="00226190" w:rsidRDefault="00226190" w:rsidP="00BE0EA1">
            <w:pPr>
              <w:rPr>
                <w:rFonts w:ascii="Garamond" w:hAnsi="Garamond"/>
                <w:sz w:val="24"/>
                <w:szCs w:val="24"/>
              </w:rPr>
            </w:pPr>
            <w:r w:rsidRPr="00226190">
              <w:rPr>
                <w:rFonts w:ascii="Garamond" w:hAnsi="Garamond"/>
                <w:sz w:val="24"/>
                <w:szCs w:val="24"/>
              </w:rPr>
              <w:t>Small sample size – The number of staff participants was relatively small, limiting broad application of findings.</w:t>
            </w:r>
          </w:p>
          <w:p w14:paraId="7DEB08FC" w14:textId="77777777" w:rsidR="00226190" w:rsidRPr="00226190" w:rsidRDefault="00226190" w:rsidP="00BE0EA1">
            <w:pPr>
              <w:rPr>
                <w:rFonts w:ascii="Garamond" w:hAnsi="Garamond"/>
                <w:sz w:val="24"/>
                <w:szCs w:val="24"/>
              </w:rPr>
            </w:pPr>
          </w:p>
          <w:p w14:paraId="3CC49AF7"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Focus on staff performance, not client outcomes – While staff performance improved, the study </w:t>
            </w:r>
            <w:r w:rsidRPr="00226190">
              <w:rPr>
                <w:rFonts w:ascii="Garamond" w:hAnsi="Garamond"/>
                <w:sz w:val="24"/>
                <w:szCs w:val="24"/>
              </w:rPr>
              <w:lastRenderedPageBreak/>
              <w:t>did not measure whether this directly improved client behavior change or quality of care.</w:t>
            </w:r>
          </w:p>
          <w:p w14:paraId="5D79D377" w14:textId="77777777" w:rsidR="00226190" w:rsidRPr="00226190" w:rsidRDefault="00226190" w:rsidP="00BE0EA1">
            <w:pPr>
              <w:rPr>
                <w:rFonts w:ascii="Garamond" w:hAnsi="Garamond"/>
                <w:sz w:val="24"/>
                <w:szCs w:val="24"/>
              </w:rPr>
            </w:pPr>
          </w:p>
          <w:p w14:paraId="25B25EFD" w14:textId="77777777" w:rsidR="00226190" w:rsidRPr="00226190" w:rsidRDefault="00226190" w:rsidP="00BE0EA1">
            <w:pPr>
              <w:rPr>
                <w:rFonts w:ascii="Garamond" w:hAnsi="Garamond"/>
                <w:sz w:val="24"/>
                <w:szCs w:val="24"/>
              </w:rPr>
            </w:pPr>
            <w:r w:rsidRPr="00226190">
              <w:rPr>
                <w:rFonts w:ascii="Garamond" w:hAnsi="Garamond"/>
                <w:sz w:val="24"/>
                <w:szCs w:val="24"/>
              </w:rPr>
              <w:t>Checklist reliance – The PDC-H is interview-based, meaning results rely on supervisors’ accuracy and insight; bias or incomplete information could influence intervention selection.</w:t>
            </w:r>
          </w:p>
          <w:p w14:paraId="46F2D2D2" w14:textId="77777777" w:rsidR="00226190" w:rsidRPr="00226190" w:rsidRDefault="00226190" w:rsidP="00BE0EA1">
            <w:pPr>
              <w:rPr>
                <w:rFonts w:ascii="Garamond" w:hAnsi="Garamond"/>
                <w:sz w:val="24"/>
                <w:szCs w:val="24"/>
              </w:rPr>
            </w:pPr>
          </w:p>
          <w:p w14:paraId="6C8EA3FE"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No cost–benefit analysis – </w:t>
            </w:r>
            <w:r w:rsidRPr="00226190">
              <w:rPr>
                <w:rFonts w:ascii="Garamond" w:hAnsi="Garamond"/>
                <w:sz w:val="24"/>
                <w:szCs w:val="24"/>
              </w:rPr>
              <w:lastRenderedPageBreak/>
              <w:t>Although improvements suggest efficiency gains, the study did not quantify actual cost savings or compare resource investment with outcomes.</w:t>
            </w:r>
          </w:p>
          <w:p w14:paraId="37364215" w14:textId="77777777" w:rsidR="00226190" w:rsidRPr="00226190" w:rsidRDefault="00226190" w:rsidP="00BE0EA1">
            <w:pPr>
              <w:rPr>
                <w:rFonts w:ascii="Garamond" w:hAnsi="Garamond"/>
                <w:sz w:val="24"/>
                <w:szCs w:val="24"/>
              </w:rPr>
            </w:pPr>
          </w:p>
        </w:tc>
      </w:tr>
      <w:tr w:rsidR="00226190" w:rsidRPr="00226190" w14:paraId="7471CC46" w14:textId="77777777" w:rsidTr="00226190">
        <w:tc>
          <w:tcPr>
            <w:tcW w:w="5000" w:type="pct"/>
            <w:gridSpan w:val="9"/>
            <w:shd w:val="clear" w:color="auto" w:fill="ADADAD" w:themeFill="background2" w:themeFillShade="BF"/>
          </w:tcPr>
          <w:p w14:paraId="7472D567" w14:textId="77777777" w:rsidR="00226190" w:rsidRPr="00226190" w:rsidRDefault="00226190" w:rsidP="00BE0EA1">
            <w:pPr>
              <w:rPr>
                <w:rFonts w:ascii="Garamond" w:hAnsi="Garamond"/>
                <w:b/>
                <w:bCs/>
                <w:sz w:val="24"/>
                <w:szCs w:val="24"/>
              </w:rPr>
            </w:pPr>
            <w:r w:rsidRPr="00226190">
              <w:rPr>
                <w:rFonts w:ascii="Garamond" w:hAnsi="Garamond"/>
                <w:b/>
                <w:bCs/>
                <w:sz w:val="24"/>
                <w:szCs w:val="24"/>
              </w:rPr>
              <w:lastRenderedPageBreak/>
              <w:t>Claim Denials and Revenue Cycle Management: Tools, analytics, and structured processes to prevent denials.</w:t>
            </w:r>
          </w:p>
        </w:tc>
      </w:tr>
      <w:tr w:rsidR="00226190" w:rsidRPr="00226190" w14:paraId="736BBC60" w14:textId="77777777" w:rsidTr="00226190">
        <w:tc>
          <w:tcPr>
            <w:tcW w:w="555" w:type="pct"/>
          </w:tcPr>
          <w:p w14:paraId="4CB67D02" w14:textId="77777777" w:rsidR="00226190" w:rsidRPr="00226190" w:rsidRDefault="00226190" w:rsidP="00BE0EA1">
            <w:pPr>
              <w:rPr>
                <w:rFonts w:ascii="Garamond" w:hAnsi="Garamond"/>
                <w:sz w:val="24"/>
                <w:szCs w:val="24"/>
              </w:rPr>
            </w:pPr>
            <w:r w:rsidRPr="00226190">
              <w:rPr>
                <w:rFonts w:ascii="Garamond" w:hAnsi="Garamond"/>
                <w:sz w:val="24"/>
                <w:szCs w:val="24"/>
                <w:lang w:val="fr-FR"/>
              </w:rPr>
              <w:t xml:space="preserve">Johnson, M., </w:t>
            </w:r>
            <w:proofErr w:type="spellStart"/>
            <w:r w:rsidRPr="00226190">
              <w:rPr>
                <w:rFonts w:ascii="Garamond" w:hAnsi="Garamond"/>
                <w:sz w:val="24"/>
                <w:szCs w:val="24"/>
                <w:lang w:val="fr-FR"/>
              </w:rPr>
              <w:t>Albizri</w:t>
            </w:r>
            <w:proofErr w:type="spellEnd"/>
            <w:r w:rsidRPr="00226190">
              <w:rPr>
                <w:rFonts w:ascii="Garamond" w:hAnsi="Garamond"/>
                <w:sz w:val="24"/>
                <w:szCs w:val="24"/>
                <w:lang w:val="fr-FR"/>
              </w:rPr>
              <w:t xml:space="preserve">, A., &amp; Harfouche, A. (2023). </w:t>
            </w:r>
            <w:r w:rsidRPr="00226190">
              <w:rPr>
                <w:rFonts w:ascii="Garamond" w:hAnsi="Garamond"/>
                <w:sz w:val="24"/>
                <w:szCs w:val="24"/>
              </w:rPr>
              <w:t>Responsible artificial intelligence in healthcare: Predicting and preventing insurance claim denials for economi</w:t>
            </w:r>
            <w:r w:rsidRPr="00226190">
              <w:rPr>
                <w:rFonts w:ascii="Garamond" w:hAnsi="Garamond"/>
                <w:sz w:val="24"/>
                <w:szCs w:val="24"/>
              </w:rPr>
              <w:lastRenderedPageBreak/>
              <w:t xml:space="preserve">c and social wellbeing. </w:t>
            </w:r>
            <w:r w:rsidRPr="00226190">
              <w:rPr>
                <w:rFonts w:ascii="Garamond" w:hAnsi="Garamond"/>
                <w:i/>
                <w:iCs/>
                <w:sz w:val="24"/>
                <w:szCs w:val="24"/>
              </w:rPr>
              <w:t>Information Systems Frontiers, 25</w:t>
            </w:r>
            <w:r w:rsidRPr="00226190">
              <w:rPr>
                <w:rFonts w:ascii="Garamond" w:hAnsi="Garamond"/>
                <w:sz w:val="24"/>
                <w:szCs w:val="24"/>
              </w:rPr>
              <w:t>(6), 2179–2195. https://doi.org/10.1007/s10796-021-10137-5</w:t>
            </w:r>
          </w:p>
          <w:p w14:paraId="0FE69F01" w14:textId="77777777" w:rsidR="00226190" w:rsidRPr="00226190" w:rsidRDefault="00226190" w:rsidP="00BE0EA1">
            <w:pPr>
              <w:rPr>
                <w:rFonts w:ascii="Garamond" w:hAnsi="Garamond"/>
                <w:sz w:val="24"/>
                <w:szCs w:val="24"/>
              </w:rPr>
            </w:pPr>
          </w:p>
        </w:tc>
        <w:tc>
          <w:tcPr>
            <w:tcW w:w="556" w:type="pct"/>
          </w:tcPr>
          <w:p w14:paraId="1D6EA4B5"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study used a large dataset of de-identified health insurance claims from U.S. hospital systems. The authors mention using 2,905,026 claims records drawn from </w:t>
            </w:r>
            <w:r w:rsidRPr="00226190">
              <w:rPr>
                <w:rFonts w:ascii="Garamond" w:hAnsi="Garamond"/>
                <w:sz w:val="24"/>
                <w:szCs w:val="24"/>
              </w:rPr>
              <w:lastRenderedPageBreak/>
              <w:t>two health systems.</w:t>
            </w:r>
          </w:p>
        </w:tc>
        <w:tc>
          <w:tcPr>
            <w:tcW w:w="556" w:type="pct"/>
          </w:tcPr>
          <w:p w14:paraId="38B18833"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authors adopt a Design Science Research (DSR) paradigm, in which they design and validate an AI (machine learning) framework to predict which claims </w:t>
            </w:r>
            <w:r w:rsidRPr="00226190">
              <w:rPr>
                <w:rFonts w:ascii="Garamond" w:hAnsi="Garamond"/>
                <w:sz w:val="24"/>
                <w:szCs w:val="24"/>
              </w:rPr>
              <w:lastRenderedPageBreak/>
              <w:t>will be denied before submission. They test multiple algorithms (white-box and glass-box) and compare performance via cross-validation, tuning hyperparameters, and evaluating metrics like AUC, precision, recall.</w:t>
            </w:r>
          </w:p>
        </w:tc>
        <w:tc>
          <w:tcPr>
            <w:tcW w:w="556" w:type="pct"/>
          </w:tcPr>
          <w:p w14:paraId="0DC2DB35" w14:textId="77777777" w:rsidR="00226190" w:rsidRPr="00226190" w:rsidRDefault="00226190" w:rsidP="00BE0EA1">
            <w:pPr>
              <w:rPr>
                <w:rFonts w:ascii="Garamond" w:hAnsi="Garamond"/>
                <w:b/>
                <w:bCs/>
                <w:sz w:val="24"/>
                <w:szCs w:val="24"/>
              </w:rPr>
            </w:pPr>
            <w:r w:rsidRPr="00226190">
              <w:rPr>
                <w:rFonts w:ascii="Garamond" w:hAnsi="Garamond"/>
                <w:sz w:val="24"/>
                <w:szCs w:val="24"/>
              </w:rPr>
              <w:lastRenderedPageBreak/>
              <w:t>The article’s theme is that using responsible AI methods can help providers preemptively detect claims likely to be denied, thereby reducing revenue loss, administ</w:t>
            </w:r>
            <w:r w:rsidRPr="00226190">
              <w:rPr>
                <w:rFonts w:ascii="Garamond" w:hAnsi="Garamond"/>
                <w:sz w:val="24"/>
                <w:szCs w:val="24"/>
              </w:rPr>
              <w:lastRenderedPageBreak/>
              <w:t>rative burden, and patient/provider friction in the claims process.</w:t>
            </w:r>
          </w:p>
        </w:tc>
        <w:tc>
          <w:tcPr>
            <w:tcW w:w="556" w:type="pct"/>
          </w:tcPr>
          <w:p w14:paraId="07602918" w14:textId="77777777" w:rsidR="00226190" w:rsidRPr="00226190" w:rsidRDefault="00226190" w:rsidP="00BE0EA1">
            <w:pPr>
              <w:rPr>
                <w:rFonts w:ascii="Garamond" w:hAnsi="Garamond"/>
                <w:sz w:val="24"/>
                <w:szCs w:val="24"/>
              </w:rPr>
            </w:pPr>
            <w:r w:rsidRPr="00226190">
              <w:rPr>
                <w:rFonts w:ascii="Garamond" w:hAnsi="Garamond"/>
                <w:b/>
                <w:bCs/>
                <w:sz w:val="24"/>
                <w:szCs w:val="24"/>
              </w:rPr>
              <w:lastRenderedPageBreak/>
              <w:t>Independent variables:</w:t>
            </w:r>
            <w:r w:rsidRPr="00226190">
              <w:rPr>
                <w:rFonts w:ascii="Garamond" w:hAnsi="Garamond"/>
                <w:sz w:val="24"/>
                <w:szCs w:val="24"/>
              </w:rPr>
              <w:t xml:space="preserve"> features extracted from claims (billing codes, procedure codes, patient demographics, historical claim attributes) fed into AI models.</w:t>
            </w:r>
          </w:p>
          <w:p w14:paraId="0F1530F9" w14:textId="77777777" w:rsidR="00226190" w:rsidRPr="00226190" w:rsidRDefault="00226190" w:rsidP="00BE0EA1">
            <w:pPr>
              <w:rPr>
                <w:rFonts w:ascii="Garamond" w:hAnsi="Garamond"/>
                <w:sz w:val="24"/>
                <w:szCs w:val="24"/>
              </w:rPr>
            </w:pPr>
          </w:p>
          <w:p w14:paraId="3B047D39" w14:textId="77777777" w:rsidR="00226190" w:rsidRPr="00226190" w:rsidRDefault="00226190" w:rsidP="00BE0EA1">
            <w:pPr>
              <w:rPr>
                <w:rFonts w:ascii="Garamond" w:hAnsi="Garamond"/>
                <w:sz w:val="24"/>
                <w:szCs w:val="24"/>
              </w:rPr>
            </w:pPr>
            <w:r w:rsidRPr="00226190">
              <w:rPr>
                <w:rFonts w:ascii="Garamond" w:hAnsi="Garamond"/>
                <w:b/>
                <w:bCs/>
                <w:sz w:val="24"/>
                <w:szCs w:val="24"/>
              </w:rPr>
              <w:lastRenderedPageBreak/>
              <w:t>Dependent variable:</w:t>
            </w:r>
            <w:r w:rsidRPr="00226190">
              <w:rPr>
                <w:rFonts w:ascii="Garamond" w:hAnsi="Garamond"/>
                <w:sz w:val="24"/>
                <w:szCs w:val="24"/>
              </w:rPr>
              <w:t xml:space="preserve"> predicted claim denial (binary, whether a claim is denied) and performance metrics such as AUC, precision, recall.</w:t>
            </w:r>
          </w:p>
          <w:p w14:paraId="3644D976" w14:textId="77777777" w:rsidR="00226190" w:rsidRPr="00226190" w:rsidRDefault="00226190" w:rsidP="00BE0EA1">
            <w:pPr>
              <w:rPr>
                <w:rFonts w:ascii="Garamond" w:hAnsi="Garamond"/>
                <w:sz w:val="24"/>
                <w:szCs w:val="24"/>
              </w:rPr>
            </w:pPr>
          </w:p>
          <w:p w14:paraId="0A5750F9" w14:textId="77777777" w:rsidR="00226190" w:rsidRPr="00226190" w:rsidRDefault="00226190" w:rsidP="00BE0EA1">
            <w:pPr>
              <w:rPr>
                <w:rFonts w:ascii="Garamond" w:hAnsi="Garamond"/>
                <w:sz w:val="24"/>
                <w:szCs w:val="24"/>
              </w:rPr>
            </w:pPr>
          </w:p>
        </w:tc>
        <w:tc>
          <w:tcPr>
            <w:tcW w:w="556" w:type="pct"/>
          </w:tcPr>
          <w:p w14:paraId="52CA1069"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Among the tested models, a white-box algorithm (AdaBoost) achieved the best performance, with AUC ~0.83, outperforming other models in identifyi</w:t>
            </w:r>
            <w:r w:rsidRPr="00226190">
              <w:rPr>
                <w:rFonts w:ascii="Garamond" w:hAnsi="Garamond"/>
                <w:sz w:val="24"/>
                <w:szCs w:val="24"/>
              </w:rPr>
              <w:lastRenderedPageBreak/>
              <w:t>ng likely denials.</w:t>
            </w:r>
          </w:p>
          <w:p w14:paraId="2CE46F93" w14:textId="77777777" w:rsidR="00226190" w:rsidRPr="00226190" w:rsidRDefault="00226190" w:rsidP="00BE0EA1">
            <w:pPr>
              <w:rPr>
                <w:rFonts w:ascii="Garamond" w:hAnsi="Garamond"/>
                <w:sz w:val="24"/>
                <w:szCs w:val="24"/>
              </w:rPr>
            </w:pPr>
          </w:p>
          <w:p w14:paraId="529935AA" w14:textId="77777777" w:rsidR="00226190" w:rsidRPr="00226190" w:rsidRDefault="00226190" w:rsidP="00BE0EA1">
            <w:pPr>
              <w:rPr>
                <w:rFonts w:ascii="Garamond" w:hAnsi="Garamond"/>
                <w:sz w:val="24"/>
                <w:szCs w:val="24"/>
              </w:rPr>
            </w:pPr>
            <w:r w:rsidRPr="00226190">
              <w:rPr>
                <w:rFonts w:ascii="Garamond" w:hAnsi="Garamond"/>
                <w:sz w:val="24"/>
                <w:szCs w:val="24"/>
              </w:rPr>
              <w:t>The model enabled earlier intervention, which could reduce the number of denied claims and thereby improve operational efficiency and cash flow.</w:t>
            </w:r>
          </w:p>
        </w:tc>
        <w:tc>
          <w:tcPr>
            <w:tcW w:w="556" w:type="pct"/>
          </w:tcPr>
          <w:p w14:paraId="5AAC9DBD"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Reinforces the idea (from other studies) that predictive / analytics tools can improve claims performance and reduce denials.</w:t>
            </w:r>
          </w:p>
          <w:p w14:paraId="2B2C337A" w14:textId="77777777" w:rsidR="00226190" w:rsidRPr="00226190" w:rsidRDefault="00226190" w:rsidP="00BE0EA1">
            <w:pPr>
              <w:rPr>
                <w:rFonts w:ascii="Garamond" w:hAnsi="Garamond"/>
                <w:sz w:val="24"/>
                <w:szCs w:val="24"/>
              </w:rPr>
            </w:pPr>
          </w:p>
          <w:p w14:paraId="59BFA4AA"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Aligns with the broader finding </w:t>
            </w:r>
            <w:r w:rsidRPr="00226190">
              <w:rPr>
                <w:rFonts w:ascii="Garamond" w:hAnsi="Garamond"/>
                <w:sz w:val="24"/>
                <w:szCs w:val="24"/>
              </w:rPr>
              <w:lastRenderedPageBreak/>
              <w:t>that many denials are predictable (i.e., based on patterns) rather than completely random or unpredictable.</w:t>
            </w:r>
          </w:p>
        </w:tc>
        <w:tc>
          <w:tcPr>
            <w:tcW w:w="556" w:type="pct"/>
          </w:tcPr>
          <w:p w14:paraId="281CE354"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The article argues that by catching potentially denied claims before submission, providers can avoid revenue loss and rework costs.</w:t>
            </w:r>
          </w:p>
          <w:p w14:paraId="7749D19F" w14:textId="77777777" w:rsidR="00226190" w:rsidRPr="00226190" w:rsidRDefault="00226190" w:rsidP="00BE0EA1">
            <w:pPr>
              <w:rPr>
                <w:rFonts w:ascii="Garamond" w:hAnsi="Garamond"/>
                <w:sz w:val="24"/>
                <w:szCs w:val="24"/>
              </w:rPr>
            </w:pPr>
          </w:p>
          <w:p w14:paraId="65FBC53C"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The authors note </w:t>
            </w:r>
            <w:r w:rsidRPr="00226190">
              <w:rPr>
                <w:rFonts w:ascii="Garamond" w:hAnsi="Garamond"/>
                <w:sz w:val="24"/>
                <w:szCs w:val="24"/>
              </w:rPr>
              <w:lastRenderedPageBreak/>
              <w:t>that hospitals nationwide lose -US$262 billion annually because of denied claims (cited estimate) and present that their AI tool could help reduce that burden.</w:t>
            </w:r>
          </w:p>
        </w:tc>
        <w:tc>
          <w:tcPr>
            <w:tcW w:w="556" w:type="pct"/>
          </w:tcPr>
          <w:p w14:paraId="06CA6E09"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The model validation is retrospective; real-world prospective deployment might face different constraints or lower performance.</w:t>
            </w:r>
          </w:p>
          <w:p w14:paraId="1EEBFD94" w14:textId="77777777" w:rsidR="00226190" w:rsidRPr="00226190" w:rsidRDefault="00226190" w:rsidP="00BE0EA1">
            <w:pPr>
              <w:rPr>
                <w:rFonts w:ascii="Garamond" w:hAnsi="Garamond"/>
                <w:sz w:val="24"/>
                <w:szCs w:val="24"/>
              </w:rPr>
            </w:pPr>
          </w:p>
          <w:p w14:paraId="5E6BD3FB"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The study is </w:t>
            </w:r>
            <w:r w:rsidRPr="00226190">
              <w:rPr>
                <w:rFonts w:ascii="Garamond" w:hAnsi="Garamond"/>
                <w:sz w:val="24"/>
                <w:szCs w:val="24"/>
              </w:rPr>
              <w:lastRenderedPageBreak/>
              <w:t>limited to the claims data available; it may not fully account for payer-specific policies, appeals, or insurer behavior.</w:t>
            </w:r>
          </w:p>
          <w:p w14:paraId="69B02D61" w14:textId="77777777" w:rsidR="00226190" w:rsidRPr="00226190" w:rsidRDefault="00226190" w:rsidP="00BE0EA1">
            <w:pPr>
              <w:rPr>
                <w:rFonts w:ascii="Garamond" w:hAnsi="Garamond"/>
                <w:sz w:val="24"/>
                <w:szCs w:val="24"/>
              </w:rPr>
            </w:pPr>
          </w:p>
          <w:p w14:paraId="26C9E357" w14:textId="77777777" w:rsidR="00226190" w:rsidRPr="00226190" w:rsidRDefault="00226190" w:rsidP="00BE0EA1">
            <w:pPr>
              <w:rPr>
                <w:rFonts w:ascii="Garamond" w:hAnsi="Garamond"/>
                <w:sz w:val="24"/>
                <w:szCs w:val="24"/>
              </w:rPr>
            </w:pPr>
            <w:r w:rsidRPr="00226190">
              <w:rPr>
                <w:rFonts w:ascii="Garamond" w:hAnsi="Garamond"/>
                <w:sz w:val="24"/>
                <w:szCs w:val="24"/>
              </w:rPr>
              <w:t>The “black box vs explainability” tradeoff is not fully resolved; even white-box models may have complexity that limits interpretation in practice.</w:t>
            </w:r>
          </w:p>
          <w:p w14:paraId="2A23592C" w14:textId="77777777" w:rsidR="00226190" w:rsidRPr="00226190" w:rsidRDefault="00226190" w:rsidP="00BE0EA1">
            <w:pPr>
              <w:rPr>
                <w:rFonts w:ascii="Garamond" w:hAnsi="Garamond"/>
                <w:sz w:val="24"/>
                <w:szCs w:val="24"/>
              </w:rPr>
            </w:pPr>
          </w:p>
          <w:p w14:paraId="2920BB49"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Generalizability is constrained: data from </w:t>
            </w:r>
            <w:r w:rsidRPr="00226190">
              <w:rPr>
                <w:rFonts w:ascii="Garamond" w:hAnsi="Garamond"/>
                <w:sz w:val="24"/>
                <w:szCs w:val="24"/>
              </w:rPr>
              <w:lastRenderedPageBreak/>
              <w:t>certain health systems only, which may not represent all provider settings or payers.</w:t>
            </w:r>
          </w:p>
          <w:p w14:paraId="67BDB23D" w14:textId="77777777" w:rsidR="00226190" w:rsidRPr="00226190" w:rsidRDefault="00226190" w:rsidP="00BE0EA1">
            <w:pPr>
              <w:rPr>
                <w:rFonts w:ascii="Garamond" w:hAnsi="Garamond"/>
                <w:sz w:val="24"/>
                <w:szCs w:val="24"/>
              </w:rPr>
            </w:pPr>
          </w:p>
        </w:tc>
      </w:tr>
      <w:tr w:rsidR="00226190" w:rsidRPr="00226190" w14:paraId="7333F748" w14:textId="77777777" w:rsidTr="00226190">
        <w:tc>
          <w:tcPr>
            <w:tcW w:w="5000" w:type="pct"/>
            <w:gridSpan w:val="9"/>
            <w:shd w:val="clear" w:color="auto" w:fill="ADADAD" w:themeFill="background2" w:themeFillShade="BF"/>
          </w:tcPr>
          <w:p w14:paraId="0726B680" w14:textId="77777777" w:rsidR="00226190" w:rsidRPr="00226190" w:rsidRDefault="00226190" w:rsidP="00BE0EA1">
            <w:pPr>
              <w:rPr>
                <w:rFonts w:ascii="Garamond" w:hAnsi="Garamond"/>
                <w:b/>
                <w:bCs/>
                <w:sz w:val="24"/>
                <w:szCs w:val="24"/>
              </w:rPr>
            </w:pPr>
            <w:r w:rsidRPr="00226190">
              <w:rPr>
                <w:rFonts w:ascii="Garamond" w:hAnsi="Garamond"/>
                <w:b/>
                <w:bCs/>
                <w:sz w:val="24"/>
                <w:szCs w:val="24"/>
              </w:rPr>
              <w:lastRenderedPageBreak/>
              <w:t>Insurance Denials and Reimbursement: Broader payer systems, Medicaid/Medicare policies, and denial consequences.</w:t>
            </w:r>
          </w:p>
        </w:tc>
      </w:tr>
      <w:tr w:rsidR="00226190" w:rsidRPr="00226190" w14:paraId="7DBCDDBA" w14:textId="77777777" w:rsidTr="00226190">
        <w:tc>
          <w:tcPr>
            <w:tcW w:w="555" w:type="pct"/>
          </w:tcPr>
          <w:p w14:paraId="2BA27A7F" w14:textId="77777777" w:rsidR="00226190" w:rsidRPr="00226190" w:rsidRDefault="00226190" w:rsidP="00BE0EA1">
            <w:pPr>
              <w:rPr>
                <w:rFonts w:ascii="Garamond" w:hAnsi="Garamond"/>
                <w:sz w:val="24"/>
                <w:szCs w:val="24"/>
              </w:rPr>
            </w:pPr>
            <w:proofErr w:type="spellStart"/>
            <w:r w:rsidRPr="00226190">
              <w:rPr>
                <w:rFonts w:ascii="Garamond" w:hAnsi="Garamond"/>
                <w:sz w:val="24"/>
                <w:szCs w:val="24"/>
              </w:rPr>
              <w:t>Wagenschieber</w:t>
            </w:r>
            <w:proofErr w:type="spellEnd"/>
            <w:r w:rsidRPr="00226190">
              <w:rPr>
                <w:rFonts w:ascii="Garamond" w:hAnsi="Garamond"/>
                <w:sz w:val="24"/>
                <w:szCs w:val="24"/>
              </w:rPr>
              <w:t xml:space="preserve">, D., &amp; Blunck, E. (2024). Impact of reimbursement systems on patient care: A systematic review of systematic reviews. </w:t>
            </w:r>
            <w:r w:rsidRPr="00226190">
              <w:rPr>
                <w:rFonts w:ascii="Garamond" w:hAnsi="Garamond"/>
                <w:i/>
                <w:iCs/>
                <w:sz w:val="24"/>
                <w:szCs w:val="24"/>
              </w:rPr>
              <w:t>Health Economics Review, 14</w:t>
            </w:r>
            <w:r w:rsidRPr="00226190">
              <w:rPr>
                <w:rFonts w:ascii="Garamond" w:hAnsi="Garamond"/>
                <w:sz w:val="24"/>
                <w:szCs w:val="24"/>
              </w:rPr>
              <w:t>(1), 39. https://doi.org/10.1186/s13561-024-00487-6</w:t>
            </w:r>
          </w:p>
          <w:p w14:paraId="13421F00" w14:textId="77777777" w:rsidR="00226190" w:rsidRPr="00226190" w:rsidRDefault="00226190" w:rsidP="00BE0EA1">
            <w:pPr>
              <w:rPr>
                <w:rFonts w:ascii="Garamond" w:hAnsi="Garamond"/>
                <w:sz w:val="24"/>
                <w:szCs w:val="24"/>
              </w:rPr>
            </w:pPr>
          </w:p>
        </w:tc>
        <w:tc>
          <w:tcPr>
            <w:tcW w:w="556" w:type="pct"/>
          </w:tcPr>
          <w:p w14:paraId="6AABF3B3"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population in this study was broad because the authors conducted a systematic review of systematic reviews. Rather than analyzing a single patient group, the review encompassed evidence from diverse </w:t>
            </w:r>
            <w:r w:rsidRPr="00226190">
              <w:rPr>
                <w:rFonts w:ascii="Garamond" w:hAnsi="Garamond"/>
                <w:sz w:val="24"/>
                <w:szCs w:val="24"/>
              </w:rPr>
              <w:lastRenderedPageBreak/>
              <w:t xml:space="preserve">healthcare populations across a variety of settings. These included patients in both primary and hospital-based care, as well as populations in high-income and low- to middle-income countries. The systematic reviews examined in the study addressed patients with different medical conditions and treatment needs, which made </w:t>
            </w:r>
            <w:r w:rsidRPr="00226190">
              <w:rPr>
                <w:rFonts w:ascii="Garamond" w:hAnsi="Garamond"/>
                <w:sz w:val="24"/>
                <w:szCs w:val="24"/>
              </w:rPr>
              <w:lastRenderedPageBreak/>
              <w:t>the overall population heterogeneous. By pooling these reviews, the authors captured a wide range of perspectives on how reimbursement systems affect patient care.</w:t>
            </w:r>
          </w:p>
        </w:tc>
        <w:tc>
          <w:tcPr>
            <w:tcW w:w="556" w:type="pct"/>
          </w:tcPr>
          <w:p w14:paraId="61B11CC7"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methodology followed a structured approach consistent with best practices for umbrella reviews. The authors searched MEDLINE, Embase, and the Cochrane Library, with the last search conducted in March </w:t>
            </w:r>
            <w:r w:rsidRPr="00226190">
              <w:rPr>
                <w:rFonts w:ascii="Garamond" w:hAnsi="Garamond"/>
                <w:sz w:val="24"/>
                <w:szCs w:val="24"/>
              </w:rPr>
              <w:lastRenderedPageBreak/>
              <w:t xml:space="preserve">2023. They included systematic reviews of quantitative studies that evaluated reimbursement models such as fee-for-service, capitation, diagnosis-related groups, and pay-for-performance. Data were extracted on the types of reimbursement systems, the health outcomes studied, and the reported effects on patient care. </w:t>
            </w:r>
            <w:r w:rsidRPr="00226190">
              <w:rPr>
                <w:rFonts w:ascii="Garamond" w:hAnsi="Garamond"/>
                <w:sz w:val="24"/>
                <w:szCs w:val="24"/>
              </w:rPr>
              <w:lastRenderedPageBreak/>
              <w:t xml:space="preserve">Because the included studies varied widely in populations, interventions, and outcomes, the authors synthesized findings using a narrative approach rather than conducting a meta-analysis. To assess methodological rigor, they applied the AMSTAR 2 tool, which evaluates the quality of systematic reviews. This process </w:t>
            </w:r>
            <w:r w:rsidRPr="00226190">
              <w:rPr>
                <w:rFonts w:ascii="Garamond" w:hAnsi="Garamond"/>
                <w:sz w:val="24"/>
                <w:szCs w:val="24"/>
              </w:rPr>
              <w:lastRenderedPageBreak/>
              <w:t>provided a framework for analyzing the strength of the existing evidence base on reimbursement and patient care.</w:t>
            </w:r>
          </w:p>
        </w:tc>
        <w:tc>
          <w:tcPr>
            <w:tcW w:w="556" w:type="pct"/>
          </w:tcPr>
          <w:p w14:paraId="62A9D6B5"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The central theme of the article is how different healthcare reimbursement systems influence patient care outcomes. The authors examined payment models such as fee-for-service, capitation, diagnosis-related groups, and pay-for-</w:t>
            </w:r>
            <w:r w:rsidRPr="00226190">
              <w:rPr>
                <w:rFonts w:ascii="Garamond" w:hAnsi="Garamond"/>
                <w:sz w:val="24"/>
                <w:szCs w:val="24"/>
              </w:rPr>
              <w:lastRenderedPageBreak/>
              <w:t>performance to determine whether financial structures within health systems improve or hinder the quality, efficiency, and accessibility of care. By synthesizing evidence from existing systematic reviews, the study highlights how the design of reimbursement mechanisms can shape provider behavior, impact patient experiences, and ultimatel</w:t>
            </w:r>
            <w:r w:rsidRPr="00226190">
              <w:rPr>
                <w:rFonts w:ascii="Garamond" w:hAnsi="Garamond"/>
                <w:sz w:val="24"/>
                <w:szCs w:val="24"/>
              </w:rPr>
              <w:lastRenderedPageBreak/>
              <w:t>y affect health outcomes across diverse populations and settings.</w:t>
            </w:r>
          </w:p>
        </w:tc>
        <w:tc>
          <w:tcPr>
            <w:tcW w:w="556" w:type="pct"/>
          </w:tcPr>
          <w:p w14:paraId="289EC47B" w14:textId="77777777" w:rsidR="00226190" w:rsidRPr="00226190" w:rsidRDefault="00226190" w:rsidP="00BE0EA1">
            <w:pPr>
              <w:rPr>
                <w:rFonts w:ascii="Garamond" w:hAnsi="Garamond"/>
                <w:b/>
                <w:bCs/>
                <w:sz w:val="24"/>
                <w:szCs w:val="24"/>
              </w:rPr>
            </w:pPr>
            <w:r w:rsidRPr="00226190">
              <w:rPr>
                <w:rFonts w:ascii="Garamond" w:hAnsi="Garamond"/>
                <w:b/>
                <w:bCs/>
                <w:sz w:val="24"/>
                <w:szCs w:val="24"/>
              </w:rPr>
              <w:lastRenderedPageBreak/>
              <w:t>Independent Variable</w:t>
            </w:r>
          </w:p>
          <w:p w14:paraId="6DE47DA5" w14:textId="77777777" w:rsidR="00226190" w:rsidRPr="00226190" w:rsidRDefault="00226190" w:rsidP="00BE0EA1">
            <w:pPr>
              <w:rPr>
                <w:rFonts w:ascii="Garamond" w:hAnsi="Garamond"/>
                <w:sz w:val="24"/>
                <w:szCs w:val="24"/>
              </w:rPr>
            </w:pPr>
            <w:r w:rsidRPr="00226190">
              <w:rPr>
                <w:rFonts w:ascii="Garamond" w:hAnsi="Garamond"/>
                <w:sz w:val="24"/>
                <w:szCs w:val="24"/>
              </w:rPr>
              <w:t>The independent variable in the study is the reimbursement system or payment model, such as fee-for-service, capitation, diagnosis-related groups, and pay-for-performance.</w:t>
            </w:r>
          </w:p>
          <w:p w14:paraId="71B51069" w14:textId="77777777" w:rsidR="00226190" w:rsidRPr="00226190" w:rsidRDefault="00226190" w:rsidP="00BE0EA1">
            <w:pPr>
              <w:rPr>
                <w:rFonts w:ascii="Garamond" w:hAnsi="Garamond"/>
                <w:b/>
                <w:bCs/>
                <w:sz w:val="24"/>
                <w:szCs w:val="24"/>
              </w:rPr>
            </w:pPr>
            <w:r w:rsidRPr="00226190">
              <w:rPr>
                <w:rFonts w:ascii="Garamond" w:hAnsi="Garamond"/>
                <w:b/>
                <w:bCs/>
                <w:sz w:val="24"/>
                <w:szCs w:val="24"/>
              </w:rPr>
              <w:t xml:space="preserve">Dependent </w:t>
            </w:r>
            <w:r w:rsidRPr="00226190">
              <w:rPr>
                <w:rFonts w:ascii="Garamond" w:hAnsi="Garamond"/>
                <w:b/>
                <w:bCs/>
                <w:sz w:val="24"/>
                <w:szCs w:val="24"/>
              </w:rPr>
              <w:lastRenderedPageBreak/>
              <w:t>Variable</w:t>
            </w:r>
          </w:p>
          <w:p w14:paraId="4A437485" w14:textId="77777777" w:rsidR="00226190" w:rsidRPr="00226190" w:rsidRDefault="00226190" w:rsidP="00BE0EA1">
            <w:pPr>
              <w:rPr>
                <w:rFonts w:ascii="Garamond" w:hAnsi="Garamond"/>
                <w:b/>
                <w:bCs/>
                <w:sz w:val="24"/>
                <w:szCs w:val="24"/>
              </w:rPr>
            </w:pPr>
            <w:r w:rsidRPr="00226190">
              <w:rPr>
                <w:rFonts w:ascii="Garamond" w:hAnsi="Garamond"/>
                <w:sz w:val="24"/>
                <w:szCs w:val="24"/>
              </w:rPr>
              <w:t>The dependent variables are patient care outcomes, including quality, efficiency, access, provider behavior, and overall health results.</w:t>
            </w:r>
          </w:p>
        </w:tc>
        <w:tc>
          <w:tcPr>
            <w:tcW w:w="556" w:type="pct"/>
          </w:tcPr>
          <w:p w14:paraId="18D9ED35"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key findings from </w:t>
            </w:r>
            <w:proofErr w:type="spellStart"/>
            <w:r w:rsidRPr="00226190">
              <w:rPr>
                <w:rFonts w:ascii="Garamond" w:hAnsi="Garamond"/>
                <w:sz w:val="24"/>
                <w:szCs w:val="24"/>
              </w:rPr>
              <w:t>Wagenschieber</w:t>
            </w:r>
            <w:proofErr w:type="spellEnd"/>
            <w:r w:rsidRPr="00226190">
              <w:rPr>
                <w:rFonts w:ascii="Garamond" w:hAnsi="Garamond"/>
                <w:sz w:val="24"/>
                <w:szCs w:val="24"/>
              </w:rPr>
              <w:t xml:space="preserve"> and Blunck’s (2024) review show that reimbursement systems do influence patient care, but the effects vary depending on the type of payment model and the context in which it is applied. </w:t>
            </w:r>
            <w:r w:rsidRPr="00226190">
              <w:rPr>
                <w:rFonts w:ascii="Garamond" w:hAnsi="Garamond"/>
                <w:sz w:val="24"/>
                <w:szCs w:val="24"/>
              </w:rPr>
              <w:lastRenderedPageBreak/>
              <w:t xml:space="preserve">Fee-for-service often increased service volume but raised concerns about overtreatment and inefficiency. Capitation and diagnosis-related groups tended to control costs better but sometimes </w:t>
            </w:r>
            <w:proofErr w:type="gramStart"/>
            <w:r w:rsidRPr="00226190">
              <w:rPr>
                <w:rFonts w:ascii="Garamond" w:hAnsi="Garamond"/>
                <w:sz w:val="24"/>
                <w:szCs w:val="24"/>
              </w:rPr>
              <w:t>limited service</w:t>
            </w:r>
            <w:proofErr w:type="gramEnd"/>
            <w:r w:rsidRPr="00226190">
              <w:rPr>
                <w:rFonts w:ascii="Garamond" w:hAnsi="Garamond"/>
                <w:sz w:val="24"/>
                <w:szCs w:val="24"/>
              </w:rPr>
              <w:t xml:space="preserve"> provision or reduced flexibility in care. Pay-for-performance produced mixed results, with some improvements in targeted </w:t>
            </w:r>
            <w:r w:rsidRPr="00226190">
              <w:rPr>
                <w:rFonts w:ascii="Garamond" w:hAnsi="Garamond"/>
                <w:sz w:val="24"/>
                <w:szCs w:val="24"/>
              </w:rPr>
              <w:lastRenderedPageBreak/>
              <w:t>measures but inconsistent effects on broader patient outcomes. Overall, the evidence suggested that no single reimbursement system consistently improved patient care across all settings.</w:t>
            </w:r>
          </w:p>
          <w:p w14:paraId="7B6DCA64" w14:textId="77777777" w:rsidR="00226190" w:rsidRPr="00226190" w:rsidRDefault="00226190" w:rsidP="00BE0EA1">
            <w:pPr>
              <w:rPr>
                <w:rFonts w:ascii="Garamond" w:hAnsi="Garamond"/>
                <w:sz w:val="24"/>
                <w:szCs w:val="24"/>
              </w:rPr>
            </w:pPr>
          </w:p>
        </w:tc>
        <w:tc>
          <w:tcPr>
            <w:tcW w:w="556" w:type="pct"/>
          </w:tcPr>
          <w:p w14:paraId="3DFA4AC0"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shared findings across the systematic reviews indicated that financial incentives embedded in payment models directly shaped provider behavior, which in turn affected patient experiences and outcomes. Regardless of the model, </w:t>
            </w:r>
            <w:r w:rsidRPr="00226190">
              <w:rPr>
                <w:rFonts w:ascii="Garamond" w:hAnsi="Garamond"/>
                <w:sz w:val="24"/>
                <w:szCs w:val="24"/>
              </w:rPr>
              <w:lastRenderedPageBreak/>
              <w:t xml:space="preserve">reimbursement systems were linked to trade-offs between cost control, service quality, and access. Many reviews also emphasized the lack of high-quality evidence and the difficulty of isolating payment effects from other factors influencing health systems. In sum, while reimbursement structures matter, their impact is complex, </w:t>
            </w:r>
            <w:r w:rsidRPr="00226190">
              <w:rPr>
                <w:rFonts w:ascii="Garamond" w:hAnsi="Garamond"/>
                <w:sz w:val="24"/>
                <w:szCs w:val="24"/>
              </w:rPr>
              <w:lastRenderedPageBreak/>
              <w:t>context-dependent, and not uniformly positive or negative.</w:t>
            </w:r>
          </w:p>
          <w:p w14:paraId="46127B4C" w14:textId="77777777" w:rsidR="00226190" w:rsidRPr="00226190" w:rsidRDefault="00226190" w:rsidP="00BE0EA1">
            <w:pPr>
              <w:rPr>
                <w:rFonts w:ascii="Garamond" w:hAnsi="Garamond"/>
                <w:sz w:val="24"/>
                <w:szCs w:val="24"/>
              </w:rPr>
            </w:pPr>
          </w:p>
        </w:tc>
        <w:tc>
          <w:tcPr>
            <w:tcW w:w="556" w:type="pct"/>
          </w:tcPr>
          <w:p w14:paraId="4E10DA64"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review found that certain reimbursement systems were associated with cost savings, particularly capitation and diagnosis-related groups. These models tended to reduce unnecessary services and promote efficiency by </w:t>
            </w:r>
            <w:r w:rsidRPr="00226190">
              <w:rPr>
                <w:rFonts w:ascii="Garamond" w:hAnsi="Garamond"/>
                <w:sz w:val="24"/>
                <w:szCs w:val="24"/>
              </w:rPr>
              <w:lastRenderedPageBreak/>
              <w:t xml:space="preserve">placing limits on payment per patient or per case. While this helped control healthcare spending, the savings often came with concerns about reduced flexibility in care or under-provision of services. Pay-for-performance showed some potential for cost control when tied to targeted outcomes, but the evidence for widespread </w:t>
            </w:r>
            <w:r w:rsidRPr="00226190">
              <w:rPr>
                <w:rFonts w:ascii="Garamond" w:hAnsi="Garamond"/>
                <w:sz w:val="24"/>
                <w:szCs w:val="24"/>
              </w:rPr>
              <w:lastRenderedPageBreak/>
              <w:t>financial benefits was inconsistent. In contrast, fee-for-service generally increased healthcare costs because it incentivized higher service volumes.</w:t>
            </w:r>
          </w:p>
          <w:p w14:paraId="7797089D" w14:textId="77777777" w:rsidR="00226190" w:rsidRPr="00226190" w:rsidRDefault="00226190" w:rsidP="00BE0EA1">
            <w:pPr>
              <w:rPr>
                <w:rFonts w:ascii="Garamond" w:hAnsi="Garamond"/>
                <w:sz w:val="24"/>
                <w:szCs w:val="24"/>
              </w:rPr>
            </w:pPr>
          </w:p>
        </w:tc>
        <w:tc>
          <w:tcPr>
            <w:tcW w:w="556" w:type="pct"/>
          </w:tcPr>
          <w:p w14:paraId="78326A84"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authors noted several limitations in the evidence base. The included systematic reviews were highly heterogeneous, covering different populations, health systems, and outcome measures, which made it difficult to compare results </w:t>
            </w:r>
            <w:r w:rsidRPr="00226190">
              <w:rPr>
                <w:rFonts w:ascii="Garamond" w:hAnsi="Garamond"/>
                <w:sz w:val="24"/>
                <w:szCs w:val="24"/>
              </w:rPr>
              <w:lastRenderedPageBreak/>
              <w:t xml:space="preserve">directly or conduct meta-analysis. Many reviews had methodological weaknesses identified through the AMSTAR 2 appraisal, limiting the strength of their conclusions. Another limitation was the challenge of attributing patient care outcomes solely to reimbursement systems, since other health system factors often </w:t>
            </w:r>
            <w:r w:rsidRPr="00226190">
              <w:rPr>
                <w:rFonts w:ascii="Garamond" w:hAnsi="Garamond"/>
                <w:sz w:val="24"/>
                <w:szCs w:val="24"/>
              </w:rPr>
              <w:lastRenderedPageBreak/>
              <w:t>played a role. Additionally, there was a lack of high-quality evidence from low- and middle-income countries, making it harder to generalize findings globally.</w:t>
            </w:r>
          </w:p>
          <w:p w14:paraId="412D30FB" w14:textId="77777777" w:rsidR="00226190" w:rsidRPr="00226190" w:rsidRDefault="00226190" w:rsidP="00BE0EA1">
            <w:pPr>
              <w:rPr>
                <w:rFonts w:ascii="Garamond" w:hAnsi="Garamond"/>
                <w:sz w:val="24"/>
                <w:szCs w:val="24"/>
              </w:rPr>
            </w:pPr>
          </w:p>
        </w:tc>
      </w:tr>
      <w:tr w:rsidR="00226190" w:rsidRPr="00226190" w14:paraId="691724E6" w14:textId="77777777" w:rsidTr="00226190">
        <w:tc>
          <w:tcPr>
            <w:tcW w:w="555" w:type="pct"/>
          </w:tcPr>
          <w:p w14:paraId="519332E3" w14:textId="77777777" w:rsidR="00226190" w:rsidRPr="00226190" w:rsidRDefault="00226190" w:rsidP="00BE0EA1">
            <w:pPr>
              <w:rPr>
                <w:rFonts w:ascii="Garamond" w:hAnsi="Garamond"/>
                <w:sz w:val="24"/>
                <w:szCs w:val="24"/>
              </w:rPr>
            </w:pPr>
            <w:r w:rsidRPr="00226190">
              <w:rPr>
                <w:rFonts w:ascii="Garamond" w:hAnsi="Garamond"/>
                <w:sz w:val="24"/>
                <w:szCs w:val="24"/>
                <w:lang w:val="es-ES"/>
              </w:rPr>
              <w:lastRenderedPageBreak/>
              <w:t xml:space="preserve">Muralidharan, B., Basu, S., Tingen, J., &amp; Patel, S. Y. (2025). </w:t>
            </w:r>
            <w:r w:rsidRPr="00226190">
              <w:rPr>
                <w:rFonts w:ascii="Garamond" w:hAnsi="Garamond"/>
                <w:sz w:val="24"/>
                <w:szCs w:val="24"/>
              </w:rPr>
              <w:t xml:space="preserve">Procedural prescription denials and risk of acute care utilization and spending among Medicaid patients. </w:t>
            </w:r>
            <w:r w:rsidRPr="00226190">
              <w:rPr>
                <w:rFonts w:ascii="Garamond" w:hAnsi="Garamond"/>
                <w:i/>
                <w:iCs/>
                <w:sz w:val="24"/>
                <w:szCs w:val="24"/>
              </w:rPr>
              <w:t>JAMA Network Open, 8</w:t>
            </w:r>
            <w:r w:rsidRPr="00226190">
              <w:rPr>
                <w:rFonts w:ascii="Garamond" w:hAnsi="Garamond"/>
                <w:sz w:val="24"/>
                <w:szCs w:val="24"/>
              </w:rPr>
              <w:t>(1), e2457300. https://</w:t>
            </w:r>
            <w:r w:rsidRPr="00226190">
              <w:rPr>
                <w:rFonts w:ascii="Garamond" w:hAnsi="Garamond"/>
                <w:sz w:val="24"/>
                <w:szCs w:val="24"/>
              </w:rPr>
              <w:lastRenderedPageBreak/>
              <w:t>doi.org/10.1001/jamanetworkopen.2024.57300</w:t>
            </w:r>
          </w:p>
        </w:tc>
        <w:tc>
          <w:tcPr>
            <w:tcW w:w="556" w:type="pct"/>
          </w:tcPr>
          <w:p w14:paraId="1714144C"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study analyzed Medicaid claims from two U.S. states (Virginia and Washington) during 2022–2023. Their analytic sample included patients who had at least one prescription denial in a given medication class and matched </w:t>
            </w:r>
            <w:r w:rsidRPr="00226190">
              <w:rPr>
                <w:rFonts w:ascii="Garamond" w:hAnsi="Garamond"/>
                <w:sz w:val="24"/>
                <w:szCs w:val="24"/>
              </w:rPr>
              <w:lastRenderedPageBreak/>
              <w:t>counterparts without such denials, controlling for demographics, health plan, chronic condition history, prior utilization, etc.</w:t>
            </w:r>
          </w:p>
        </w:tc>
        <w:tc>
          <w:tcPr>
            <w:tcW w:w="556" w:type="pct"/>
          </w:tcPr>
          <w:p w14:paraId="785B5550"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This is a cross-sectional observational study using matched comparisons. Patients with prescription denials were matched to similar patients without denials. The authors then compared acute care utilization (emerge</w:t>
            </w:r>
            <w:r w:rsidRPr="00226190">
              <w:rPr>
                <w:rFonts w:ascii="Garamond" w:hAnsi="Garamond"/>
                <w:sz w:val="24"/>
                <w:szCs w:val="24"/>
              </w:rPr>
              <w:lastRenderedPageBreak/>
              <w:t>ncy department visits, hospitalizations) and total medical spending over a 60-day period after the medication fill or denial. They adjusted for relevant covariates and executed sensitivity analyses to check for confounding.</w:t>
            </w:r>
          </w:p>
        </w:tc>
        <w:tc>
          <w:tcPr>
            <w:tcW w:w="556" w:type="pct"/>
          </w:tcPr>
          <w:p w14:paraId="62E4D69F" w14:textId="77777777" w:rsidR="00226190" w:rsidRPr="00226190" w:rsidRDefault="00226190" w:rsidP="00BE0EA1">
            <w:pPr>
              <w:rPr>
                <w:rFonts w:ascii="Garamond" w:hAnsi="Garamond"/>
                <w:sz w:val="24"/>
                <w:szCs w:val="24"/>
              </w:rPr>
            </w:pPr>
            <w:r w:rsidRPr="00226190">
              <w:rPr>
                <w:rFonts w:ascii="Garamond" w:hAnsi="Garamond"/>
                <w:b/>
                <w:bCs/>
                <w:sz w:val="24"/>
                <w:szCs w:val="24"/>
              </w:rPr>
              <w:lastRenderedPageBreak/>
              <w:t>Independent variable:</w:t>
            </w:r>
            <w:r w:rsidRPr="00226190">
              <w:rPr>
                <w:rFonts w:ascii="Garamond" w:hAnsi="Garamond"/>
                <w:sz w:val="24"/>
                <w:szCs w:val="24"/>
              </w:rPr>
              <w:t xml:space="preserve"> whether a patient experienced a procedural prescription denial (vs no denial) in a given medication class. </w:t>
            </w:r>
          </w:p>
          <w:p w14:paraId="000A75A5" w14:textId="77777777" w:rsidR="00226190" w:rsidRPr="00226190" w:rsidRDefault="00226190" w:rsidP="00BE0EA1">
            <w:pPr>
              <w:rPr>
                <w:rFonts w:ascii="Garamond" w:hAnsi="Garamond"/>
                <w:sz w:val="24"/>
                <w:szCs w:val="24"/>
              </w:rPr>
            </w:pPr>
          </w:p>
          <w:p w14:paraId="2C4FF34A" w14:textId="77777777" w:rsidR="00226190" w:rsidRPr="00226190" w:rsidRDefault="00226190" w:rsidP="00BE0EA1">
            <w:pPr>
              <w:rPr>
                <w:rFonts w:ascii="Garamond" w:hAnsi="Garamond"/>
                <w:sz w:val="24"/>
                <w:szCs w:val="24"/>
              </w:rPr>
            </w:pPr>
            <w:r w:rsidRPr="00226190">
              <w:rPr>
                <w:rFonts w:ascii="Garamond" w:hAnsi="Garamond"/>
                <w:b/>
                <w:bCs/>
                <w:sz w:val="24"/>
                <w:szCs w:val="24"/>
              </w:rPr>
              <w:t>Dependent variables:</w:t>
            </w:r>
            <w:r w:rsidRPr="00226190">
              <w:rPr>
                <w:rFonts w:ascii="Garamond" w:hAnsi="Garamond"/>
                <w:sz w:val="24"/>
                <w:szCs w:val="24"/>
              </w:rPr>
              <w:t xml:space="preserve"> rates of acute care utilization (ED visits, hospitalizations) </w:t>
            </w:r>
            <w:r w:rsidRPr="00226190">
              <w:rPr>
                <w:rFonts w:ascii="Garamond" w:hAnsi="Garamond"/>
                <w:sz w:val="24"/>
                <w:szCs w:val="24"/>
              </w:rPr>
              <w:lastRenderedPageBreak/>
              <w:t xml:space="preserve">in the 60-day post-denial period; total medical spending (per member per year) associated with the condition class after the denial. </w:t>
            </w:r>
          </w:p>
          <w:p w14:paraId="12352824" w14:textId="77777777" w:rsidR="00226190" w:rsidRPr="00226190" w:rsidRDefault="00226190" w:rsidP="00BE0EA1">
            <w:pPr>
              <w:rPr>
                <w:rFonts w:ascii="Garamond" w:hAnsi="Garamond"/>
                <w:sz w:val="24"/>
                <w:szCs w:val="24"/>
              </w:rPr>
            </w:pPr>
          </w:p>
        </w:tc>
        <w:tc>
          <w:tcPr>
            <w:tcW w:w="556" w:type="pct"/>
          </w:tcPr>
          <w:p w14:paraId="1C51AE6B" w14:textId="77777777" w:rsidR="00226190" w:rsidRPr="00226190" w:rsidRDefault="00226190" w:rsidP="00BE0EA1">
            <w:pPr>
              <w:rPr>
                <w:rFonts w:ascii="Garamond" w:hAnsi="Garamond"/>
                <w:b/>
                <w:bCs/>
                <w:sz w:val="24"/>
                <w:szCs w:val="24"/>
              </w:rPr>
            </w:pPr>
            <w:r w:rsidRPr="00226190">
              <w:rPr>
                <w:rFonts w:ascii="Garamond" w:hAnsi="Garamond"/>
                <w:sz w:val="24"/>
                <w:szCs w:val="24"/>
              </w:rPr>
              <w:lastRenderedPageBreak/>
              <w:t>The theme is that contractual or procedural denials of medications in Medicaid in an attempt to control immediate drug costs and may have unintended consequences, such as increased hospital/ED utilizatio</w:t>
            </w:r>
            <w:r w:rsidRPr="00226190">
              <w:rPr>
                <w:rFonts w:ascii="Garamond" w:hAnsi="Garamond"/>
                <w:sz w:val="24"/>
                <w:szCs w:val="24"/>
              </w:rPr>
              <w:lastRenderedPageBreak/>
              <w:t>n and higher overall medical spending.</w:t>
            </w:r>
          </w:p>
        </w:tc>
        <w:tc>
          <w:tcPr>
            <w:tcW w:w="556" w:type="pct"/>
          </w:tcPr>
          <w:p w14:paraId="049D0156"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Patients with prescription denials had significantly higher odds of physiologically related ED visits and hospitalizations compared to matched peers without denials (adjusted ORs ranged from ~1.40 to ~1.75). </w:t>
            </w:r>
          </w:p>
          <w:p w14:paraId="1648F824" w14:textId="77777777" w:rsidR="00226190" w:rsidRPr="00226190" w:rsidRDefault="00226190" w:rsidP="00BE0EA1">
            <w:pPr>
              <w:rPr>
                <w:rFonts w:ascii="Garamond" w:hAnsi="Garamond"/>
                <w:sz w:val="24"/>
                <w:szCs w:val="24"/>
              </w:rPr>
            </w:pPr>
          </w:p>
          <w:p w14:paraId="086443E4"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In six medication classes, denials were associated with net increases in total medical spending (including acute care costs), ranging from USD $624 to $3,016 per member per year. </w:t>
            </w:r>
          </w:p>
          <w:p w14:paraId="098D27E5" w14:textId="77777777" w:rsidR="00226190" w:rsidRPr="00226190" w:rsidRDefault="00226190" w:rsidP="00BE0EA1">
            <w:pPr>
              <w:rPr>
                <w:rFonts w:ascii="Garamond" w:hAnsi="Garamond"/>
                <w:sz w:val="24"/>
                <w:szCs w:val="24"/>
              </w:rPr>
            </w:pPr>
          </w:p>
        </w:tc>
        <w:tc>
          <w:tcPr>
            <w:tcW w:w="556" w:type="pct"/>
          </w:tcPr>
          <w:p w14:paraId="07403A29"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Echoes findings in other literature that denying coverage or rejecting claims may shift costs downstream rather than truly saving money.</w:t>
            </w:r>
          </w:p>
          <w:p w14:paraId="4603F2B0" w14:textId="77777777" w:rsidR="00226190" w:rsidRPr="00226190" w:rsidRDefault="00226190" w:rsidP="00BE0EA1">
            <w:pPr>
              <w:rPr>
                <w:rFonts w:ascii="Garamond" w:hAnsi="Garamond"/>
                <w:sz w:val="24"/>
                <w:szCs w:val="24"/>
              </w:rPr>
            </w:pPr>
          </w:p>
          <w:p w14:paraId="208221D5" w14:textId="77777777" w:rsidR="00226190" w:rsidRPr="00226190" w:rsidRDefault="00226190" w:rsidP="00BE0EA1">
            <w:pPr>
              <w:rPr>
                <w:rFonts w:ascii="Garamond" w:hAnsi="Garamond"/>
                <w:sz w:val="24"/>
                <w:szCs w:val="24"/>
              </w:rPr>
            </w:pPr>
            <w:r w:rsidRPr="00226190">
              <w:rPr>
                <w:rFonts w:ascii="Garamond" w:hAnsi="Garamond"/>
                <w:sz w:val="24"/>
                <w:szCs w:val="24"/>
              </w:rPr>
              <w:t>Reinforces concept that administrative barriers and coverage decision</w:t>
            </w:r>
            <w:r w:rsidRPr="00226190">
              <w:rPr>
                <w:rFonts w:ascii="Garamond" w:hAnsi="Garamond"/>
                <w:sz w:val="24"/>
                <w:szCs w:val="24"/>
              </w:rPr>
              <w:lastRenderedPageBreak/>
              <w:t>s have direct impact on patient outcomes and utilization.</w:t>
            </w:r>
          </w:p>
          <w:p w14:paraId="3B589E54" w14:textId="77777777" w:rsidR="00226190" w:rsidRPr="00226190" w:rsidRDefault="00226190" w:rsidP="00BE0EA1">
            <w:pPr>
              <w:rPr>
                <w:rFonts w:ascii="Garamond" w:hAnsi="Garamond"/>
                <w:sz w:val="24"/>
                <w:szCs w:val="24"/>
              </w:rPr>
            </w:pPr>
          </w:p>
        </w:tc>
        <w:tc>
          <w:tcPr>
            <w:tcW w:w="556" w:type="pct"/>
          </w:tcPr>
          <w:p w14:paraId="51BECDF6"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Rather than cost savings, the study shows several cases where denials lead to net cost increases (i.e. acute care costs outweigh medication savings).</w:t>
            </w:r>
          </w:p>
          <w:p w14:paraId="1FF04138" w14:textId="77777777" w:rsidR="00226190" w:rsidRPr="00226190" w:rsidRDefault="00226190" w:rsidP="00BE0EA1">
            <w:pPr>
              <w:rPr>
                <w:rFonts w:ascii="Garamond" w:hAnsi="Garamond"/>
                <w:sz w:val="24"/>
                <w:szCs w:val="24"/>
              </w:rPr>
            </w:pPr>
          </w:p>
          <w:p w14:paraId="5F02B591"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These results suggest that policy designs must </w:t>
            </w:r>
            <w:r w:rsidRPr="00226190">
              <w:rPr>
                <w:rFonts w:ascii="Garamond" w:hAnsi="Garamond"/>
                <w:sz w:val="24"/>
                <w:szCs w:val="24"/>
              </w:rPr>
              <w:lastRenderedPageBreak/>
              <w:t>weigh short-term savings versus downstream expenditures.</w:t>
            </w:r>
          </w:p>
          <w:p w14:paraId="05FC6CAC" w14:textId="77777777" w:rsidR="00226190" w:rsidRPr="00226190" w:rsidRDefault="00226190" w:rsidP="00BE0EA1">
            <w:pPr>
              <w:rPr>
                <w:rFonts w:ascii="Garamond" w:hAnsi="Garamond"/>
                <w:sz w:val="24"/>
                <w:szCs w:val="24"/>
              </w:rPr>
            </w:pPr>
          </w:p>
        </w:tc>
        <w:tc>
          <w:tcPr>
            <w:tcW w:w="556" w:type="pct"/>
          </w:tcPr>
          <w:p w14:paraId="3FE1B2AA"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Being observational, causality can’t be fully established and residual confounding is possible. </w:t>
            </w:r>
          </w:p>
          <w:p w14:paraId="508FF5BB" w14:textId="77777777" w:rsidR="00226190" w:rsidRPr="00226190" w:rsidRDefault="00226190" w:rsidP="00BE0EA1">
            <w:pPr>
              <w:rPr>
                <w:rFonts w:ascii="Garamond" w:hAnsi="Garamond"/>
                <w:sz w:val="24"/>
                <w:szCs w:val="24"/>
              </w:rPr>
            </w:pPr>
          </w:p>
          <w:p w14:paraId="3DD2D5D5"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Only two states, two health plans and generalizability to other Medicaid programs may be limited. </w:t>
            </w:r>
          </w:p>
          <w:p w14:paraId="5C62307B" w14:textId="77777777" w:rsidR="00226190" w:rsidRPr="00226190" w:rsidRDefault="00226190" w:rsidP="00BE0EA1">
            <w:pPr>
              <w:rPr>
                <w:rFonts w:ascii="Garamond" w:hAnsi="Garamond"/>
                <w:sz w:val="24"/>
                <w:szCs w:val="24"/>
              </w:rPr>
            </w:pPr>
          </w:p>
          <w:p w14:paraId="3DEAD24C"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Short time </w:t>
            </w:r>
            <w:r w:rsidRPr="00226190">
              <w:rPr>
                <w:rFonts w:ascii="Garamond" w:hAnsi="Garamond"/>
                <w:sz w:val="24"/>
                <w:szCs w:val="24"/>
              </w:rPr>
              <w:lastRenderedPageBreak/>
              <w:t xml:space="preserve">horizon (60 days) may not capture longer-term effects. </w:t>
            </w:r>
          </w:p>
          <w:p w14:paraId="749291DC" w14:textId="77777777" w:rsidR="00226190" w:rsidRPr="00226190" w:rsidRDefault="00226190" w:rsidP="00BE0EA1">
            <w:pPr>
              <w:rPr>
                <w:rFonts w:ascii="Garamond" w:hAnsi="Garamond"/>
                <w:sz w:val="24"/>
                <w:szCs w:val="24"/>
              </w:rPr>
            </w:pPr>
          </w:p>
          <w:p w14:paraId="35F2A679"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Denial reasons data were incomplete (available only in one of the states) which might limit attribution of causality. </w:t>
            </w:r>
          </w:p>
          <w:p w14:paraId="38E94C0B" w14:textId="77777777" w:rsidR="00226190" w:rsidRPr="00226190" w:rsidRDefault="00226190" w:rsidP="00BE0EA1">
            <w:pPr>
              <w:rPr>
                <w:rFonts w:ascii="Garamond" w:hAnsi="Garamond"/>
                <w:sz w:val="24"/>
                <w:szCs w:val="24"/>
              </w:rPr>
            </w:pPr>
          </w:p>
        </w:tc>
      </w:tr>
      <w:tr w:rsidR="00226190" w:rsidRPr="00226190" w14:paraId="36A63721" w14:textId="77777777" w:rsidTr="00226190">
        <w:tc>
          <w:tcPr>
            <w:tcW w:w="555" w:type="pct"/>
          </w:tcPr>
          <w:p w14:paraId="37EF82C4" w14:textId="77777777" w:rsidR="00226190" w:rsidRPr="00226190" w:rsidRDefault="00226190" w:rsidP="00BE0EA1">
            <w:pPr>
              <w:rPr>
                <w:rFonts w:ascii="Garamond" w:hAnsi="Garamond"/>
                <w:sz w:val="24"/>
                <w:szCs w:val="24"/>
                <w:lang w:val="es-ES"/>
              </w:rPr>
            </w:pPr>
            <w:r w:rsidRPr="00226190">
              <w:rPr>
                <w:rFonts w:ascii="Garamond" w:hAnsi="Garamond"/>
                <w:sz w:val="24"/>
                <w:szCs w:val="24"/>
              </w:rPr>
              <w:t xml:space="preserve">Vabson, B., Chien, A. T., Mukhopadhyay, S., &amp; </w:t>
            </w:r>
            <w:proofErr w:type="spellStart"/>
            <w:r w:rsidRPr="00226190">
              <w:rPr>
                <w:rFonts w:ascii="Garamond" w:hAnsi="Garamond"/>
                <w:sz w:val="24"/>
                <w:szCs w:val="24"/>
              </w:rPr>
              <w:t>Zuvekas</w:t>
            </w:r>
            <w:proofErr w:type="spellEnd"/>
            <w:r w:rsidRPr="00226190">
              <w:rPr>
                <w:rFonts w:ascii="Garamond" w:hAnsi="Garamond"/>
                <w:sz w:val="24"/>
                <w:szCs w:val="24"/>
              </w:rPr>
              <w:t xml:space="preserve">, S. H. (2025). Medicare Advantage denies 17 percent </w:t>
            </w:r>
            <w:r w:rsidRPr="00226190">
              <w:rPr>
                <w:rFonts w:ascii="Garamond" w:hAnsi="Garamond"/>
                <w:sz w:val="24"/>
                <w:szCs w:val="24"/>
              </w:rPr>
              <w:lastRenderedPageBreak/>
              <w:t xml:space="preserve">of initial claims. </w:t>
            </w:r>
            <w:r w:rsidRPr="00226190">
              <w:rPr>
                <w:rFonts w:ascii="Garamond" w:hAnsi="Garamond"/>
                <w:i/>
                <w:iCs/>
                <w:sz w:val="24"/>
                <w:szCs w:val="24"/>
              </w:rPr>
              <w:t>Health Affairs, 44</w:t>
            </w:r>
            <w:r w:rsidRPr="00226190">
              <w:rPr>
                <w:rFonts w:ascii="Garamond" w:hAnsi="Garamond"/>
                <w:sz w:val="24"/>
                <w:szCs w:val="24"/>
              </w:rPr>
              <w:t>(2), 125–133. https://doi.org/10.1377/hlthaff.2024.01485</w:t>
            </w:r>
          </w:p>
        </w:tc>
        <w:tc>
          <w:tcPr>
            <w:tcW w:w="556" w:type="pct"/>
          </w:tcPr>
          <w:p w14:paraId="7A7872AA"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study examines a nationwide sample of Medicare Advantage plan claims in the U.S. Specifically, they analyze </w:t>
            </w:r>
            <w:r w:rsidRPr="00226190">
              <w:rPr>
                <w:rFonts w:ascii="Garamond" w:hAnsi="Garamond"/>
                <w:sz w:val="24"/>
                <w:szCs w:val="24"/>
              </w:rPr>
              <w:lastRenderedPageBreak/>
              <w:t>initial claim submissions under Medicare Advantage, across multiple insurers and geographic regions.</w:t>
            </w:r>
          </w:p>
        </w:tc>
        <w:tc>
          <w:tcPr>
            <w:tcW w:w="556" w:type="pct"/>
          </w:tcPr>
          <w:p w14:paraId="79D3DF50"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authors use quantitative analysis of insurance claim data, focusing on the proportion of initial claims denied </w:t>
            </w:r>
            <w:r w:rsidRPr="00226190">
              <w:rPr>
                <w:rFonts w:ascii="Garamond" w:hAnsi="Garamond"/>
                <w:sz w:val="24"/>
                <w:szCs w:val="24"/>
              </w:rPr>
              <w:lastRenderedPageBreak/>
              <w:t>under Medicare Advantage. They also examine what share of denials are eventually overturned or reversed. The methodology includes descriptive statistics and claim-level assessments of denials.</w:t>
            </w:r>
          </w:p>
        </w:tc>
        <w:tc>
          <w:tcPr>
            <w:tcW w:w="556" w:type="pct"/>
          </w:tcPr>
          <w:p w14:paraId="502AEE22" w14:textId="77777777" w:rsidR="00226190" w:rsidRPr="00226190" w:rsidRDefault="00226190" w:rsidP="00BE0EA1">
            <w:pPr>
              <w:rPr>
                <w:rFonts w:ascii="Garamond" w:hAnsi="Garamond"/>
                <w:sz w:val="24"/>
                <w:szCs w:val="24"/>
              </w:rPr>
            </w:pPr>
            <w:r w:rsidRPr="00226190">
              <w:rPr>
                <w:rFonts w:ascii="Garamond" w:hAnsi="Garamond"/>
                <w:b/>
                <w:bCs/>
                <w:sz w:val="24"/>
                <w:szCs w:val="24"/>
              </w:rPr>
              <w:lastRenderedPageBreak/>
              <w:t>Independent variables:</w:t>
            </w:r>
            <w:r w:rsidRPr="00226190">
              <w:rPr>
                <w:rFonts w:ascii="Garamond" w:hAnsi="Garamond"/>
                <w:sz w:val="24"/>
                <w:szCs w:val="24"/>
              </w:rPr>
              <w:t xml:space="preserve"> Claim submission under Medicare Advantage (versus perhaps plan, insurer, type of claim)</w:t>
            </w:r>
          </w:p>
          <w:p w14:paraId="19FE61C0" w14:textId="77777777" w:rsidR="00226190" w:rsidRPr="00226190" w:rsidRDefault="00226190" w:rsidP="00BE0EA1">
            <w:pPr>
              <w:rPr>
                <w:rFonts w:ascii="Garamond" w:hAnsi="Garamond"/>
                <w:sz w:val="24"/>
                <w:szCs w:val="24"/>
              </w:rPr>
            </w:pPr>
          </w:p>
          <w:p w14:paraId="4EF8BC98" w14:textId="77777777" w:rsidR="00226190" w:rsidRPr="00226190" w:rsidRDefault="00226190" w:rsidP="00BE0EA1">
            <w:pPr>
              <w:rPr>
                <w:rFonts w:ascii="Garamond" w:hAnsi="Garamond"/>
                <w:sz w:val="24"/>
                <w:szCs w:val="24"/>
              </w:rPr>
            </w:pPr>
            <w:r w:rsidRPr="00226190">
              <w:rPr>
                <w:rFonts w:ascii="Garamond" w:hAnsi="Garamond"/>
                <w:b/>
                <w:bCs/>
                <w:sz w:val="24"/>
                <w:szCs w:val="24"/>
              </w:rPr>
              <w:t>Dependent variables:</w:t>
            </w:r>
            <w:r w:rsidRPr="00226190">
              <w:rPr>
                <w:rFonts w:ascii="Garamond" w:hAnsi="Garamond"/>
                <w:sz w:val="24"/>
                <w:szCs w:val="24"/>
              </w:rPr>
              <w:t xml:space="preserve"> Whether an initial claim was denied (yes/no); proportion of denials that were reversed (reevaluation outcomes)</w:t>
            </w:r>
          </w:p>
          <w:p w14:paraId="3767F5C0" w14:textId="77777777" w:rsidR="00226190" w:rsidRPr="00226190" w:rsidRDefault="00226190" w:rsidP="00BE0EA1">
            <w:pPr>
              <w:rPr>
                <w:rFonts w:ascii="Garamond" w:hAnsi="Garamond"/>
                <w:b/>
                <w:bCs/>
                <w:sz w:val="24"/>
                <w:szCs w:val="24"/>
              </w:rPr>
            </w:pPr>
          </w:p>
        </w:tc>
        <w:tc>
          <w:tcPr>
            <w:tcW w:w="556" w:type="pct"/>
          </w:tcPr>
          <w:p w14:paraId="2A4B9B1F"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study's theme is that Medicare Advantage plans deny a substantial share of initial claims (17%) and that many claim </w:t>
            </w:r>
            <w:r w:rsidRPr="00226190">
              <w:rPr>
                <w:rFonts w:ascii="Garamond" w:hAnsi="Garamond"/>
                <w:sz w:val="24"/>
                <w:szCs w:val="24"/>
              </w:rPr>
              <w:lastRenderedPageBreak/>
              <w:t>denials are reversed upon appeal. The article highlights how denials are a built-in feature of the payer process, not just isolated errors.</w:t>
            </w:r>
          </w:p>
        </w:tc>
        <w:tc>
          <w:tcPr>
            <w:tcW w:w="556" w:type="pct"/>
          </w:tcPr>
          <w:p w14:paraId="318ABBF8"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authors find that 17 % of initial claims submitted under Medicare Advantage are denied. </w:t>
            </w:r>
          </w:p>
          <w:p w14:paraId="3259EC6A" w14:textId="77777777" w:rsidR="00226190" w:rsidRPr="00226190" w:rsidRDefault="00226190" w:rsidP="00BE0EA1">
            <w:pPr>
              <w:rPr>
                <w:rFonts w:ascii="Garamond" w:hAnsi="Garamond"/>
                <w:sz w:val="24"/>
                <w:szCs w:val="24"/>
              </w:rPr>
            </w:pPr>
          </w:p>
          <w:p w14:paraId="3ECF77BF"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Of those denied, </w:t>
            </w:r>
            <w:r w:rsidRPr="00226190">
              <w:rPr>
                <w:rFonts w:ascii="Garamond" w:hAnsi="Garamond"/>
                <w:sz w:val="24"/>
                <w:szCs w:val="24"/>
              </w:rPr>
              <w:lastRenderedPageBreak/>
              <w:t>57 % are ultimately reversed (i.e., upon appeal or review)</w:t>
            </w:r>
          </w:p>
          <w:p w14:paraId="3831C10A" w14:textId="77777777" w:rsidR="00226190" w:rsidRPr="00226190" w:rsidRDefault="00226190" w:rsidP="00BE0EA1">
            <w:pPr>
              <w:rPr>
                <w:rFonts w:ascii="Garamond" w:hAnsi="Garamond"/>
                <w:sz w:val="24"/>
                <w:szCs w:val="24"/>
              </w:rPr>
            </w:pPr>
          </w:p>
        </w:tc>
        <w:tc>
          <w:tcPr>
            <w:tcW w:w="556" w:type="pct"/>
          </w:tcPr>
          <w:p w14:paraId="67C770A0"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This result is consistent with literature showing that “first-pass” denials are common across insurance types, and that </w:t>
            </w:r>
            <w:r w:rsidRPr="00226190">
              <w:rPr>
                <w:rFonts w:ascii="Garamond" w:hAnsi="Garamond"/>
                <w:sz w:val="24"/>
                <w:szCs w:val="24"/>
              </w:rPr>
              <w:lastRenderedPageBreak/>
              <w:t>a large fraction of denials can be overturned, implying that some denials are preventable or incorrect. It aligns with the theme that denials impose administrative burdens and revenue risk even for claims that are ultimately accepted.</w:t>
            </w:r>
          </w:p>
        </w:tc>
        <w:tc>
          <w:tcPr>
            <w:tcW w:w="556" w:type="pct"/>
          </w:tcPr>
          <w:p w14:paraId="69389BB7"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While the article doesn’t provide a full cost-benefit analysis, the finding that a high share of denials </w:t>
            </w:r>
            <w:proofErr w:type="gramStart"/>
            <w:r w:rsidRPr="00226190">
              <w:rPr>
                <w:rFonts w:ascii="Garamond" w:hAnsi="Garamond"/>
                <w:sz w:val="24"/>
                <w:szCs w:val="24"/>
              </w:rPr>
              <w:t>are</w:t>
            </w:r>
            <w:proofErr w:type="gramEnd"/>
            <w:r w:rsidRPr="00226190">
              <w:rPr>
                <w:rFonts w:ascii="Garamond" w:hAnsi="Garamond"/>
                <w:sz w:val="24"/>
                <w:szCs w:val="24"/>
              </w:rPr>
              <w:t xml:space="preserve"> reversed </w:t>
            </w:r>
            <w:r w:rsidRPr="00226190">
              <w:rPr>
                <w:rFonts w:ascii="Garamond" w:hAnsi="Garamond"/>
                <w:sz w:val="24"/>
                <w:szCs w:val="24"/>
              </w:rPr>
              <w:lastRenderedPageBreak/>
              <w:t>suggests that improving initial claim accuracy and reducing unnecessary initial denials could lead to cost savings: fewer appeals, faster reimbursement, less cash flow disruption. The implied inefficiency of denying then reversing many claims points to wasted administrative resources.</w:t>
            </w:r>
          </w:p>
        </w:tc>
        <w:tc>
          <w:tcPr>
            <w:tcW w:w="556" w:type="pct"/>
          </w:tcPr>
          <w:p w14:paraId="3BBAA368" w14:textId="77777777" w:rsidR="00226190" w:rsidRPr="00226190" w:rsidRDefault="00226190" w:rsidP="00BE0EA1">
            <w:pPr>
              <w:rPr>
                <w:rFonts w:ascii="Garamond" w:hAnsi="Garamond"/>
                <w:sz w:val="24"/>
                <w:szCs w:val="24"/>
              </w:rPr>
            </w:pPr>
            <w:r w:rsidRPr="00226190">
              <w:rPr>
                <w:rFonts w:ascii="Garamond" w:hAnsi="Garamond"/>
                <w:sz w:val="24"/>
                <w:szCs w:val="24"/>
              </w:rPr>
              <w:lastRenderedPageBreak/>
              <w:t xml:space="preserve">The study is limited to Medicare Advantage and may not generalize to commercial insurance, Medicaid, or </w:t>
            </w:r>
            <w:r w:rsidRPr="00226190">
              <w:rPr>
                <w:rFonts w:ascii="Garamond" w:hAnsi="Garamond"/>
                <w:sz w:val="24"/>
                <w:szCs w:val="24"/>
              </w:rPr>
              <w:lastRenderedPageBreak/>
              <w:t>ACA plans.</w:t>
            </w:r>
          </w:p>
          <w:p w14:paraId="021BA427" w14:textId="77777777" w:rsidR="00226190" w:rsidRPr="00226190" w:rsidRDefault="00226190" w:rsidP="00BE0EA1">
            <w:pPr>
              <w:rPr>
                <w:rFonts w:ascii="Garamond" w:hAnsi="Garamond"/>
                <w:sz w:val="24"/>
                <w:szCs w:val="24"/>
              </w:rPr>
            </w:pPr>
          </w:p>
          <w:p w14:paraId="797517B3" w14:textId="77777777" w:rsidR="00226190" w:rsidRPr="00226190" w:rsidRDefault="00226190" w:rsidP="00BE0EA1">
            <w:pPr>
              <w:rPr>
                <w:rFonts w:ascii="Garamond" w:hAnsi="Garamond"/>
                <w:sz w:val="24"/>
                <w:szCs w:val="24"/>
              </w:rPr>
            </w:pPr>
            <w:r w:rsidRPr="00226190">
              <w:rPr>
                <w:rFonts w:ascii="Garamond" w:hAnsi="Garamond"/>
                <w:sz w:val="24"/>
                <w:szCs w:val="24"/>
              </w:rPr>
              <w:t>It doesn’t deeply explore the root causes of why claims are denied (coding, documentation, payer rules) or the variability across plan types or regions.</w:t>
            </w:r>
          </w:p>
          <w:p w14:paraId="1C1B1C54" w14:textId="77777777" w:rsidR="00226190" w:rsidRPr="00226190" w:rsidRDefault="00226190" w:rsidP="00BE0EA1">
            <w:pPr>
              <w:rPr>
                <w:rFonts w:ascii="Garamond" w:hAnsi="Garamond"/>
                <w:sz w:val="24"/>
                <w:szCs w:val="24"/>
              </w:rPr>
            </w:pPr>
          </w:p>
          <w:p w14:paraId="571A7517"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It analyzes historical claims data; it cannot prove causation or test interventions to reduce denials. </w:t>
            </w:r>
          </w:p>
          <w:p w14:paraId="2D0AE480" w14:textId="77777777" w:rsidR="00226190" w:rsidRPr="00226190" w:rsidRDefault="00226190" w:rsidP="00BE0EA1">
            <w:pPr>
              <w:rPr>
                <w:rFonts w:ascii="Garamond" w:hAnsi="Garamond"/>
                <w:sz w:val="24"/>
                <w:szCs w:val="24"/>
              </w:rPr>
            </w:pPr>
            <w:r w:rsidRPr="00226190">
              <w:rPr>
                <w:rFonts w:ascii="Garamond" w:hAnsi="Garamond"/>
                <w:sz w:val="24"/>
                <w:szCs w:val="24"/>
              </w:rPr>
              <w:t xml:space="preserve">The reversal rate may not capture full outcomes (e.g. partial </w:t>
            </w:r>
            <w:r w:rsidRPr="00226190">
              <w:rPr>
                <w:rFonts w:ascii="Garamond" w:hAnsi="Garamond"/>
                <w:sz w:val="24"/>
                <w:szCs w:val="24"/>
              </w:rPr>
              <w:lastRenderedPageBreak/>
              <w:t>payments, delays, or appeals that are abandoned).</w:t>
            </w:r>
          </w:p>
          <w:p w14:paraId="15ECC09E" w14:textId="77777777" w:rsidR="00226190" w:rsidRPr="00226190" w:rsidRDefault="00226190" w:rsidP="00BE0EA1">
            <w:pPr>
              <w:rPr>
                <w:rFonts w:ascii="Garamond" w:hAnsi="Garamond"/>
                <w:sz w:val="24"/>
                <w:szCs w:val="24"/>
              </w:rPr>
            </w:pPr>
          </w:p>
        </w:tc>
      </w:tr>
    </w:tbl>
    <w:p w14:paraId="799C32C1" w14:textId="1731D64B" w:rsidR="00226190" w:rsidRDefault="00226190">
      <w:pPr>
        <w:rPr>
          <w:rFonts w:ascii="Times New Roman" w:hAnsi="Times New Roman" w:cs="Times New Roman"/>
        </w:rPr>
      </w:pPr>
    </w:p>
    <w:p w14:paraId="05DD55D1" w14:textId="2FD29041" w:rsidR="00226190" w:rsidRDefault="00226190">
      <w:pPr>
        <w:rPr>
          <w:rFonts w:ascii="Times New Roman" w:hAnsi="Times New Roman" w:cs="Times New Roman"/>
        </w:rPr>
      </w:pPr>
      <w:r>
        <w:rPr>
          <w:rFonts w:ascii="Times New Roman" w:hAnsi="Times New Roman" w:cs="Times New Roman"/>
        </w:rPr>
        <w:br w:type="page"/>
      </w:r>
    </w:p>
    <w:p w14:paraId="62CB6D52" w14:textId="3B15B932" w:rsidR="00226190" w:rsidRDefault="00226190" w:rsidP="00226190">
      <w:pPr>
        <w:pStyle w:val="Heading1"/>
        <w:jc w:val="center"/>
        <w:rPr>
          <w:rFonts w:ascii="Garamond" w:hAnsi="Garamond" w:cs="Times New Roman"/>
          <w:b/>
          <w:bCs/>
          <w:color w:val="auto"/>
          <w:sz w:val="24"/>
          <w:szCs w:val="24"/>
        </w:rPr>
      </w:pPr>
      <w:bookmarkStart w:id="53" w:name="_Toc228175339"/>
      <w:r w:rsidRPr="00990078">
        <w:rPr>
          <w:rFonts w:ascii="Garamond" w:hAnsi="Garamond" w:cs="Times New Roman"/>
          <w:b/>
          <w:bCs/>
          <w:color w:val="auto"/>
          <w:sz w:val="24"/>
          <w:szCs w:val="24"/>
        </w:rPr>
        <w:lastRenderedPageBreak/>
        <w:t xml:space="preserve">Appendix </w:t>
      </w:r>
      <w:r>
        <w:rPr>
          <w:rFonts w:ascii="Garamond" w:hAnsi="Garamond" w:cs="Times New Roman"/>
          <w:b/>
          <w:bCs/>
          <w:color w:val="auto"/>
          <w:sz w:val="24"/>
          <w:szCs w:val="24"/>
        </w:rPr>
        <w:t>H</w:t>
      </w:r>
      <w:bookmarkEnd w:id="53"/>
    </w:p>
    <w:p w14:paraId="3F4CE752" w14:textId="24C32E50" w:rsidR="00226190" w:rsidRPr="00226190" w:rsidRDefault="00226190" w:rsidP="00226190">
      <w:pPr>
        <w:jc w:val="center"/>
        <w:rPr>
          <w:rFonts w:ascii="Garamond" w:hAnsi="Garamond"/>
          <w:b/>
          <w:bCs/>
        </w:rPr>
      </w:pPr>
      <w:r w:rsidRPr="00226190">
        <w:rPr>
          <w:rFonts w:ascii="Garamond" w:hAnsi="Garamond"/>
          <w:b/>
          <w:bCs/>
        </w:rPr>
        <w:t>Project Timeline</w:t>
      </w:r>
    </w:p>
    <w:tbl>
      <w:tblPr>
        <w:tblStyle w:val="TableGrid"/>
        <w:tblW w:w="9805" w:type="dxa"/>
        <w:tblLook w:val="04A0" w:firstRow="1" w:lastRow="0" w:firstColumn="1" w:lastColumn="0" w:noHBand="0" w:noVBand="1"/>
      </w:tblPr>
      <w:tblGrid>
        <w:gridCol w:w="1872"/>
        <w:gridCol w:w="1381"/>
        <w:gridCol w:w="6552"/>
      </w:tblGrid>
      <w:tr w:rsidR="00226190" w:rsidRPr="00226190" w14:paraId="52621C28" w14:textId="77777777">
        <w:tc>
          <w:tcPr>
            <w:tcW w:w="1872" w:type="dxa"/>
            <w:tcBorders>
              <w:top w:val="single" w:sz="4" w:space="0" w:color="auto"/>
              <w:left w:val="single" w:sz="4" w:space="0" w:color="auto"/>
              <w:bottom w:val="single" w:sz="4" w:space="0" w:color="auto"/>
              <w:right w:val="single" w:sz="4" w:space="0" w:color="auto"/>
            </w:tcBorders>
            <w:hideMark/>
          </w:tcPr>
          <w:p w14:paraId="0452FCA6" w14:textId="77777777" w:rsidR="00226190" w:rsidRPr="00226190" w:rsidRDefault="00226190" w:rsidP="00226190">
            <w:pPr>
              <w:spacing w:after="160" w:line="278" w:lineRule="auto"/>
              <w:jc w:val="center"/>
              <w:rPr>
                <w:rFonts w:ascii="Garamond" w:hAnsi="Garamond" w:cs="Times New Roman"/>
                <w:b/>
                <w:bCs/>
                <w:sz w:val="24"/>
                <w:szCs w:val="24"/>
              </w:rPr>
            </w:pPr>
            <w:r w:rsidRPr="00226190">
              <w:rPr>
                <w:rFonts w:ascii="Garamond" w:hAnsi="Garamond" w:cs="Times New Roman"/>
                <w:b/>
                <w:bCs/>
                <w:sz w:val="24"/>
                <w:szCs w:val="24"/>
              </w:rPr>
              <w:t>Task</w:t>
            </w:r>
          </w:p>
        </w:tc>
        <w:tc>
          <w:tcPr>
            <w:tcW w:w="1381" w:type="dxa"/>
            <w:tcBorders>
              <w:top w:val="single" w:sz="4" w:space="0" w:color="auto"/>
              <w:left w:val="single" w:sz="4" w:space="0" w:color="auto"/>
              <w:bottom w:val="single" w:sz="4" w:space="0" w:color="auto"/>
              <w:right w:val="single" w:sz="4" w:space="0" w:color="auto"/>
            </w:tcBorders>
            <w:hideMark/>
          </w:tcPr>
          <w:p w14:paraId="7EB32732" w14:textId="77777777" w:rsidR="00226190" w:rsidRPr="00226190" w:rsidRDefault="00226190" w:rsidP="00226190">
            <w:pPr>
              <w:spacing w:after="160" w:line="278" w:lineRule="auto"/>
              <w:jc w:val="center"/>
              <w:rPr>
                <w:rFonts w:ascii="Garamond" w:hAnsi="Garamond" w:cs="Times New Roman"/>
                <w:b/>
                <w:bCs/>
                <w:sz w:val="24"/>
                <w:szCs w:val="24"/>
              </w:rPr>
            </w:pPr>
            <w:r w:rsidRPr="00226190">
              <w:rPr>
                <w:rFonts w:ascii="Garamond" w:hAnsi="Garamond" w:cs="Times New Roman"/>
                <w:b/>
                <w:bCs/>
                <w:sz w:val="24"/>
                <w:szCs w:val="24"/>
              </w:rPr>
              <w:t>Date Completed</w:t>
            </w:r>
          </w:p>
        </w:tc>
        <w:tc>
          <w:tcPr>
            <w:tcW w:w="6552" w:type="dxa"/>
            <w:tcBorders>
              <w:top w:val="single" w:sz="4" w:space="0" w:color="auto"/>
              <w:left w:val="single" w:sz="4" w:space="0" w:color="auto"/>
              <w:bottom w:val="single" w:sz="4" w:space="0" w:color="auto"/>
              <w:right w:val="single" w:sz="4" w:space="0" w:color="auto"/>
            </w:tcBorders>
            <w:hideMark/>
          </w:tcPr>
          <w:p w14:paraId="39F3A087" w14:textId="77777777" w:rsidR="00226190" w:rsidRPr="00226190" w:rsidRDefault="00226190" w:rsidP="00226190">
            <w:pPr>
              <w:spacing w:after="160" w:line="278" w:lineRule="auto"/>
              <w:jc w:val="center"/>
              <w:rPr>
                <w:rFonts w:ascii="Garamond" w:hAnsi="Garamond" w:cs="Times New Roman"/>
                <w:b/>
                <w:bCs/>
                <w:sz w:val="24"/>
                <w:szCs w:val="24"/>
              </w:rPr>
            </w:pPr>
            <w:r w:rsidRPr="00226190">
              <w:rPr>
                <w:rFonts w:ascii="Garamond" w:hAnsi="Garamond" w:cs="Times New Roman"/>
                <w:b/>
                <w:bCs/>
                <w:sz w:val="24"/>
                <w:szCs w:val="24"/>
              </w:rPr>
              <w:t>Description/Notes</w:t>
            </w:r>
          </w:p>
        </w:tc>
      </w:tr>
      <w:tr w:rsidR="00226190" w:rsidRPr="00226190" w14:paraId="3DD46C67" w14:textId="77777777">
        <w:tc>
          <w:tcPr>
            <w:tcW w:w="9805" w:type="dxa"/>
            <w:gridSpan w:val="3"/>
            <w:tcBorders>
              <w:top w:val="single" w:sz="4" w:space="0" w:color="auto"/>
              <w:left w:val="single" w:sz="4" w:space="0" w:color="auto"/>
              <w:bottom w:val="single" w:sz="4" w:space="0" w:color="auto"/>
              <w:right w:val="single" w:sz="4" w:space="0" w:color="auto"/>
            </w:tcBorders>
            <w:shd w:val="clear" w:color="auto" w:fill="E8E8E8" w:themeFill="background2"/>
            <w:hideMark/>
          </w:tcPr>
          <w:p w14:paraId="18DEFE74" w14:textId="77777777" w:rsidR="00226190" w:rsidRPr="00226190" w:rsidRDefault="00226190" w:rsidP="00226190">
            <w:pPr>
              <w:spacing w:after="160" w:line="278" w:lineRule="auto"/>
              <w:jc w:val="center"/>
              <w:rPr>
                <w:rFonts w:ascii="Garamond" w:hAnsi="Garamond" w:cs="Times New Roman"/>
                <w:b/>
                <w:bCs/>
                <w:sz w:val="24"/>
                <w:szCs w:val="24"/>
              </w:rPr>
            </w:pPr>
            <w:r w:rsidRPr="00226190">
              <w:rPr>
                <w:rFonts w:ascii="Garamond" w:hAnsi="Garamond" w:cs="Times New Roman"/>
                <w:b/>
                <w:bCs/>
                <w:sz w:val="24"/>
                <w:szCs w:val="24"/>
              </w:rPr>
              <w:t>Project Planning Phase</w:t>
            </w:r>
          </w:p>
        </w:tc>
      </w:tr>
      <w:tr w:rsidR="00226190" w:rsidRPr="00226190" w14:paraId="30702B77" w14:textId="77777777">
        <w:tc>
          <w:tcPr>
            <w:tcW w:w="1872" w:type="dxa"/>
            <w:tcBorders>
              <w:top w:val="single" w:sz="4" w:space="0" w:color="auto"/>
              <w:left w:val="single" w:sz="4" w:space="0" w:color="auto"/>
              <w:bottom w:val="single" w:sz="4" w:space="0" w:color="auto"/>
              <w:right w:val="single" w:sz="4" w:space="0" w:color="auto"/>
            </w:tcBorders>
            <w:hideMark/>
          </w:tcPr>
          <w:p w14:paraId="194F711B"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Needs Assessment</w:t>
            </w:r>
          </w:p>
        </w:tc>
        <w:tc>
          <w:tcPr>
            <w:tcW w:w="1381" w:type="dxa"/>
            <w:tcBorders>
              <w:top w:val="single" w:sz="4" w:space="0" w:color="auto"/>
              <w:left w:val="single" w:sz="4" w:space="0" w:color="auto"/>
              <w:bottom w:val="single" w:sz="4" w:space="0" w:color="auto"/>
              <w:right w:val="single" w:sz="4" w:space="0" w:color="auto"/>
            </w:tcBorders>
            <w:hideMark/>
          </w:tcPr>
          <w:p w14:paraId="17B2C971"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August 27,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226190" w:rsidRPr="00226190" w14:paraId="6B0C1F58" w14:textId="77777777">
              <w:trPr>
                <w:tblCellSpacing w:w="15" w:type="dxa"/>
              </w:trPr>
              <w:tc>
                <w:tcPr>
                  <w:tcW w:w="0" w:type="auto"/>
                  <w:tcMar>
                    <w:top w:w="15" w:type="dxa"/>
                    <w:left w:w="15" w:type="dxa"/>
                    <w:bottom w:w="15" w:type="dxa"/>
                    <w:right w:w="15" w:type="dxa"/>
                  </w:tcMar>
                  <w:vAlign w:val="center"/>
                  <w:hideMark/>
                </w:tcPr>
                <w:p w14:paraId="40E6A31B" w14:textId="77777777" w:rsidR="00226190" w:rsidRPr="00226190" w:rsidRDefault="00226190" w:rsidP="00226190">
                  <w:pPr>
                    <w:jc w:val="center"/>
                    <w:rPr>
                      <w:rFonts w:ascii="Garamond" w:hAnsi="Garamond" w:cs="Times New Roman"/>
                    </w:rPr>
                  </w:pPr>
                  <w:r w:rsidRPr="00226190">
                    <w:rPr>
                      <w:rFonts w:ascii="Garamond" w:hAnsi="Garamond" w:cs="Times New Roman"/>
                    </w:rPr>
                    <w:t xml:space="preserve">A comprehensive review of Medicaid claim denial trends and documentation audits will be completed across all Harsha Autism Center locations. Data from </w:t>
                  </w:r>
                  <w:proofErr w:type="spellStart"/>
                  <w:r w:rsidRPr="00226190">
                    <w:rPr>
                      <w:rFonts w:ascii="Garamond" w:hAnsi="Garamond" w:cs="Times New Roman"/>
                    </w:rPr>
                    <w:t>CentralReach</w:t>
                  </w:r>
                  <w:proofErr w:type="spellEnd"/>
                  <w:r w:rsidRPr="00226190">
                    <w:rPr>
                      <w:rFonts w:ascii="Garamond" w:hAnsi="Garamond" w:cs="Times New Roman"/>
                    </w:rPr>
                    <w:t xml:space="preserve"> and the billing department will identify the primary causes of denials (e.g., missing CPT codes, incomplete time entries, absent signatures). This establishes the baseline compliance rate and validates the need for a standardized note conversion checklist.</w:t>
                  </w:r>
                </w:p>
              </w:tc>
            </w:tr>
          </w:tbl>
          <w:p w14:paraId="4B1B5952" w14:textId="77777777" w:rsidR="00226190" w:rsidRPr="00226190" w:rsidRDefault="00226190" w:rsidP="00226190">
            <w:pPr>
              <w:spacing w:after="160" w:line="278" w:lineRule="auto"/>
              <w:jc w:val="center"/>
              <w:rPr>
                <w:rFonts w:ascii="Garamond" w:hAnsi="Garamond" w:cs="Times New Roman"/>
                <w:vanish/>
                <w:sz w:val="24"/>
                <w:szCs w:val="24"/>
              </w:rPr>
            </w:pPr>
          </w:p>
          <w:tbl>
            <w:tblPr>
              <w:tblW w:w="0" w:type="auto"/>
              <w:tblCellSpacing w:w="15" w:type="dxa"/>
              <w:tblLook w:val="04A0" w:firstRow="1" w:lastRow="0" w:firstColumn="1" w:lastColumn="0" w:noHBand="0" w:noVBand="1"/>
            </w:tblPr>
            <w:tblGrid>
              <w:gridCol w:w="96"/>
            </w:tblGrid>
            <w:tr w:rsidR="00226190" w:rsidRPr="00226190" w14:paraId="3F5E81E2" w14:textId="77777777">
              <w:trPr>
                <w:tblCellSpacing w:w="15" w:type="dxa"/>
                <w:hidden/>
              </w:trPr>
              <w:tc>
                <w:tcPr>
                  <w:tcW w:w="0" w:type="auto"/>
                  <w:tcMar>
                    <w:top w:w="15" w:type="dxa"/>
                    <w:left w:w="15" w:type="dxa"/>
                    <w:bottom w:w="15" w:type="dxa"/>
                    <w:right w:w="15" w:type="dxa"/>
                  </w:tcMar>
                  <w:vAlign w:val="center"/>
                  <w:hideMark/>
                </w:tcPr>
                <w:p w14:paraId="733E7D6C" w14:textId="77777777" w:rsidR="00226190" w:rsidRPr="00226190" w:rsidRDefault="00226190" w:rsidP="00226190">
                  <w:pPr>
                    <w:jc w:val="center"/>
                    <w:rPr>
                      <w:rFonts w:ascii="Garamond" w:hAnsi="Garamond" w:cs="Times New Roman"/>
                      <w:vanish/>
                    </w:rPr>
                  </w:pPr>
                </w:p>
              </w:tc>
            </w:tr>
          </w:tbl>
          <w:p w14:paraId="27A99970"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4EBA1B54" w14:textId="77777777">
        <w:tc>
          <w:tcPr>
            <w:tcW w:w="1872" w:type="dxa"/>
            <w:tcBorders>
              <w:top w:val="single" w:sz="4" w:space="0" w:color="auto"/>
              <w:left w:val="single" w:sz="4" w:space="0" w:color="auto"/>
              <w:bottom w:val="single" w:sz="4" w:space="0" w:color="auto"/>
              <w:right w:val="single" w:sz="4" w:space="0" w:color="auto"/>
            </w:tcBorders>
            <w:hideMark/>
          </w:tcPr>
          <w:p w14:paraId="5A403C89"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PICOT</w:t>
            </w:r>
          </w:p>
        </w:tc>
        <w:tc>
          <w:tcPr>
            <w:tcW w:w="1381" w:type="dxa"/>
            <w:tcBorders>
              <w:top w:val="single" w:sz="4" w:space="0" w:color="auto"/>
              <w:left w:val="single" w:sz="4" w:space="0" w:color="auto"/>
              <w:bottom w:val="single" w:sz="4" w:space="0" w:color="auto"/>
              <w:right w:val="single" w:sz="4" w:space="0" w:color="auto"/>
            </w:tcBorders>
            <w:hideMark/>
          </w:tcPr>
          <w:p w14:paraId="6D5F3879"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September 10,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226190" w:rsidRPr="00226190" w14:paraId="03818295" w14:textId="77777777">
              <w:trPr>
                <w:tblCellSpacing w:w="15" w:type="dxa"/>
              </w:trPr>
              <w:tc>
                <w:tcPr>
                  <w:tcW w:w="0" w:type="auto"/>
                  <w:tcMar>
                    <w:top w:w="15" w:type="dxa"/>
                    <w:left w:w="15" w:type="dxa"/>
                    <w:bottom w:w="15" w:type="dxa"/>
                    <w:right w:w="15" w:type="dxa"/>
                  </w:tcMar>
                  <w:vAlign w:val="center"/>
                  <w:hideMark/>
                </w:tcPr>
                <w:p w14:paraId="79065897" w14:textId="77777777" w:rsidR="00226190" w:rsidRPr="00226190" w:rsidRDefault="00226190" w:rsidP="00226190">
                  <w:pPr>
                    <w:jc w:val="center"/>
                    <w:rPr>
                      <w:rFonts w:ascii="Garamond" w:hAnsi="Garamond" w:cs="Times New Roman"/>
                    </w:rPr>
                  </w:pPr>
                  <w:r w:rsidRPr="00226190">
                    <w:rPr>
                      <w:rFonts w:ascii="Garamond" w:hAnsi="Garamond" w:cs="Times New Roman"/>
                    </w:rPr>
                    <w:t>Among ABA providers in Indiana who deliver Medicaid-funded services, does using a standardized note conversion checklist, compared to current inconsistent and fragmented practices, decrease claim denials within 12 months? This PICOT guides the entire quality improvement framework and defines measurable outcomes.</w:t>
                  </w:r>
                </w:p>
              </w:tc>
            </w:tr>
          </w:tbl>
          <w:p w14:paraId="1A7B4CFF" w14:textId="77777777" w:rsidR="00226190" w:rsidRPr="00226190" w:rsidRDefault="00226190" w:rsidP="00226190">
            <w:pPr>
              <w:spacing w:after="160" w:line="278" w:lineRule="auto"/>
              <w:jc w:val="center"/>
              <w:rPr>
                <w:rFonts w:ascii="Garamond" w:hAnsi="Garamond" w:cs="Times New Roman"/>
                <w:vanish/>
                <w:sz w:val="24"/>
                <w:szCs w:val="24"/>
              </w:rPr>
            </w:pPr>
          </w:p>
          <w:tbl>
            <w:tblPr>
              <w:tblW w:w="0" w:type="auto"/>
              <w:tblCellSpacing w:w="15" w:type="dxa"/>
              <w:tblLook w:val="04A0" w:firstRow="1" w:lastRow="0" w:firstColumn="1" w:lastColumn="0" w:noHBand="0" w:noVBand="1"/>
            </w:tblPr>
            <w:tblGrid>
              <w:gridCol w:w="96"/>
            </w:tblGrid>
            <w:tr w:rsidR="00226190" w:rsidRPr="00226190" w14:paraId="137E5DF5" w14:textId="77777777">
              <w:trPr>
                <w:tblCellSpacing w:w="15" w:type="dxa"/>
                <w:hidden/>
              </w:trPr>
              <w:tc>
                <w:tcPr>
                  <w:tcW w:w="0" w:type="auto"/>
                  <w:tcMar>
                    <w:top w:w="15" w:type="dxa"/>
                    <w:left w:w="15" w:type="dxa"/>
                    <w:bottom w:w="15" w:type="dxa"/>
                    <w:right w:w="15" w:type="dxa"/>
                  </w:tcMar>
                  <w:vAlign w:val="center"/>
                  <w:hideMark/>
                </w:tcPr>
                <w:p w14:paraId="07459554" w14:textId="77777777" w:rsidR="00226190" w:rsidRPr="00226190" w:rsidRDefault="00226190" w:rsidP="00226190">
                  <w:pPr>
                    <w:jc w:val="center"/>
                    <w:rPr>
                      <w:rFonts w:ascii="Garamond" w:hAnsi="Garamond" w:cs="Times New Roman"/>
                      <w:vanish/>
                    </w:rPr>
                  </w:pPr>
                </w:p>
              </w:tc>
            </w:tr>
          </w:tbl>
          <w:p w14:paraId="71E73A72"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5E6164A7" w14:textId="77777777">
        <w:tc>
          <w:tcPr>
            <w:tcW w:w="1872" w:type="dxa"/>
            <w:tcBorders>
              <w:top w:val="single" w:sz="4" w:space="0" w:color="auto"/>
              <w:left w:val="single" w:sz="4" w:space="0" w:color="auto"/>
              <w:bottom w:val="single" w:sz="4" w:space="0" w:color="auto"/>
              <w:right w:val="single" w:sz="4" w:space="0" w:color="auto"/>
            </w:tcBorders>
            <w:hideMark/>
          </w:tcPr>
          <w:p w14:paraId="54B73F5B"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Stakeholder Identification</w:t>
            </w:r>
          </w:p>
        </w:tc>
        <w:tc>
          <w:tcPr>
            <w:tcW w:w="1381" w:type="dxa"/>
            <w:tcBorders>
              <w:top w:val="single" w:sz="4" w:space="0" w:color="auto"/>
              <w:left w:val="single" w:sz="4" w:space="0" w:color="auto"/>
              <w:bottom w:val="single" w:sz="4" w:space="0" w:color="auto"/>
              <w:right w:val="single" w:sz="4" w:space="0" w:color="auto"/>
            </w:tcBorders>
            <w:hideMark/>
          </w:tcPr>
          <w:p w14:paraId="150657BC"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September 3,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226190" w:rsidRPr="00226190" w14:paraId="23419061" w14:textId="77777777">
              <w:trPr>
                <w:tblCellSpacing w:w="15" w:type="dxa"/>
              </w:trPr>
              <w:tc>
                <w:tcPr>
                  <w:tcW w:w="0" w:type="auto"/>
                  <w:tcMar>
                    <w:top w:w="15" w:type="dxa"/>
                    <w:left w:w="15" w:type="dxa"/>
                    <w:bottom w:w="15" w:type="dxa"/>
                    <w:right w:w="15" w:type="dxa"/>
                  </w:tcMar>
                  <w:vAlign w:val="center"/>
                  <w:hideMark/>
                </w:tcPr>
                <w:p w14:paraId="2F607A53" w14:textId="77777777" w:rsidR="00226190" w:rsidRPr="00226190" w:rsidRDefault="00226190" w:rsidP="00226190">
                  <w:pPr>
                    <w:jc w:val="center"/>
                    <w:rPr>
                      <w:rFonts w:ascii="Garamond" w:hAnsi="Garamond" w:cs="Times New Roman"/>
                    </w:rPr>
                  </w:pPr>
                  <w:r w:rsidRPr="00226190">
                    <w:rPr>
                      <w:rFonts w:ascii="Garamond" w:hAnsi="Garamond" w:cs="Times New Roman"/>
                    </w:rPr>
                    <w:t>Key stakeholders include Board Certified Behavior Analysts (BCBAs), Assistant Behavior Analysts (</w:t>
                  </w:r>
                  <w:proofErr w:type="spellStart"/>
                  <w:r w:rsidRPr="00226190">
                    <w:rPr>
                      <w:rFonts w:ascii="Garamond" w:hAnsi="Garamond" w:cs="Times New Roman"/>
                    </w:rPr>
                    <w:t>BCaBAs</w:t>
                  </w:r>
                  <w:proofErr w:type="spellEnd"/>
                  <w:r w:rsidRPr="00226190">
                    <w:rPr>
                      <w:rFonts w:ascii="Garamond" w:hAnsi="Garamond" w:cs="Times New Roman"/>
                    </w:rPr>
                    <w:t>), Registered Behavior Technicians (RBTs), the Clinical Director, Quality Assurance (QA) team, and the Billing Specialist. Indirect stakeholders include clients, families, and Medicaid payers. Roles and communication pathways will be outlined in the stakeholder map.</w:t>
                  </w:r>
                </w:p>
              </w:tc>
            </w:tr>
          </w:tbl>
          <w:p w14:paraId="254CA4FE" w14:textId="77777777" w:rsidR="00226190" w:rsidRPr="00226190" w:rsidRDefault="00226190" w:rsidP="00226190">
            <w:pPr>
              <w:spacing w:after="160" w:line="278" w:lineRule="auto"/>
              <w:jc w:val="center"/>
              <w:rPr>
                <w:rFonts w:ascii="Garamond" w:hAnsi="Garamond" w:cs="Times New Roman"/>
                <w:vanish/>
                <w:sz w:val="24"/>
                <w:szCs w:val="24"/>
              </w:rPr>
            </w:pPr>
          </w:p>
          <w:tbl>
            <w:tblPr>
              <w:tblW w:w="0" w:type="auto"/>
              <w:tblCellSpacing w:w="15" w:type="dxa"/>
              <w:tblLook w:val="04A0" w:firstRow="1" w:lastRow="0" w:firstColumn="1" w:lastColumn="0" w:noHBand="0" w:noVBand="1"/>
            </w:tblPr>
            <w:tblGrid>
              <w:gridCol w:w="96"/>
            </w:tblGrid>
            <w:tr w:rsidR="00226190" w:rsidRPr="00226190" w14:paraId="43792822" w14:textId="77777777">
              <w:trPr>
                <w:tblCellSpacing w:w="15" w:type="dxa"/>
                <w:hidden/>
              </w:trPr>
              <w:tc>
                <w:tcPr>
                  <w:tcW w:w="0" w:type="auto"/>
                  <w:tcMar>
                    <w:top w:w="15" w:type="dxa"/>
                    <w:left w:w="15" w:type="dxa"/>
                    <w:bottom w:w="15" w:type="dxa"/>
                    <w:right w:w="15" w:type="dxa"/>
                  </w:tcMar>
                  <w:vAlign w:val="center"/>
                  <w:hideMark/>
                </w:tcPr>
                <w:p w14:paraId="08627041" w14:textId="77777777" w:rsidR="00226190" w:rsidRPr="00226190" w:rsidRDefault="00226190" w:rsidP="00226190">
                  <w:pPr>
                    <w:jc w:val="center"/>
                    <w:rPr>
                      <w:rFonts w:ascii="Garamond" w:hAnsi="Garamond" w:cs="Times New Roman"/>
                      <w:vanish/>
                    </w:rPr>
                  </w:pPr>
                </w:p>
              </w:tc>
            </w:tr>
          </w:tbl>
          <w:p w14:paraId="1A0574E0"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0D52C20F" w14:textId="77777777">
        <w:tc>
          <w:tcPr>
            <w:tcW w:w="1872" w:type="dxa"/>
            <w:tcBorders>
              <w:top w:val="single" w:sz="4" w:space="0" w:color="auto"/>
              <w:left w:val="single" w:sz="4" w:space="0" w:color="auto"/>
              <w:bottom w:val="single" w:sz="4" w:space="0" w:color="auto"/>
              <w:right w:val="single" w:sz="4" w:space="0" w:color="auto"/>
            </w:tcBorders>
          </w:tcPr>
          <w:p w14:paraId="595F4C1C"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Project Charter/ SBAR</w:t>
            </w:r>
          </w:p>
          <w:p w14:paraId="37F7A829" w14:textId="77777777" w:rsidR="00226190" w:rsidRPr="00226190" w:rsidRDefault="00226190" w:rsidP="00226190">
            <w:pPr>
              <w:spacing w:after="160" w:line="278" w:lineRule="auto"/>
              <w:jc w:val="center"/>
              <w:rPr>
                <w:rFonts w:ascii="Garamond" w:hAnsi="Garamond" w:cs="Times New Roman"/>
                <w:sz w:val="24"/>
                <w:szCs w:val="24"/>
              </w:rPr>
            </w:pPr>
          </w:p>
        </w:tc>
        <w:tc>
          <w:tcPr>
            <w:tcW w:w="1381" w:type="dxa"/>
            <w:tcBorders>
              <w:top w:val="single" w:sz="4" w:space="0" w:color="auto"/>
              <w:left w:val="single" w:sz="4" w:space="0" w:color="auto"/>
              <w:bottom w:val="single" w:sz="4" w:space="0" w:color="auto"/>
              <w:right w:val="single" w:sz="4" w:space="0" w:color="auto"/>
            </w:tcBorders>
            <w:hideMark/>
          </w:tcPr>
          <w:p w14:paraId="32FB0C81"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October 8,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226190" w:rsidRPr="00226190" w14:paraId="0E577C11" w14:textId="77777777">
              <w:trPr>
                <w:tblCellSpacing w:w="15" w:type="dxa"/>
              </w:trPr>
              <w:tc>
                <w:tcPr>
                  <w:tcW w:w="0" w:type="auto"/>
                  <w:tcMar>
                    <w:top w:w="15" w:type="dxa"/>
                    <w:left w:w="15" w:type="dxa"/>
                    <w:bottom w:w="15" w:type="dxa"/>
                    <w:right w:w="15" w:type="dxa"/>
                  </w:tcMar>
                  <w:vAlign w:val="center"/>
                  <w:hideMark/>
                </w:tcPr>
                <w:p w14:paraId="641B8202" w14:textId="77777777" w:rsidR="00226190" w:rsidRPr="00226190" w:rsidRDefault="00226190" w:rsidP="00226190">
                  <w:pPr>
                    <w:jc w:val="center"/>
                    <w:rPr>
                      <w:rFonts w:ascii="Garamond" w:hAnsi="Garamond" w:cs="Times New Roman"/>
                    </w:rPr>
                  </w:pPr>
                  <w:r w:rsidRPr="00226190">
                    <w:rPr>
                      <w:rFonts w:ascii="Garamond" w:hAnsi="Garamond" w:cs="Times New Roman"/>
                    </w:rPr>
                    <w:t>The charter will summarize the project’s purpose, goals, outcomes, and resource requirements. It formalizes the improvement plan for leadership review. The SBAR will concisely describe the Situation (high denial rates), Background (documentation errors), Assessment (identified gaps), and Recommendation (checklist implementation).</w:t>
                  </w:r>
                </w:p>
              </w:tc>
            </w:tr>
          </w:tbl>
          <w:p w14:paraId="4D3F5CE2" w14:textId="77777777" w:rsidR="00226190" w:rsidRPr="00226190" w:rsidRDefault="00226190" w:rsidP="00226190">
            <w:pPr>
              <w:spacing w:after="160" w:line="278" w:lineRule="auto"/>
              <w:jc w:val="center"/>
              <w:rPr>
                <w:rFonts w:ascii="Garamond" w:hAnsi="Garamond" w:cs="Times New Roman"/>
                <w:vanish/>
                <w:sz w:val="24"/>
                <w:szCs w:val="24"/>
              </w:rPr>
            </w:pPr>
          </w:p>
          <w:tbl>
            <w:tblPr>
              <w:tblW w:w="0" w:type="auto"/>
              <w:tblCellSpacing w:w="15" w:type="dxa"/>
              <w:tblLook w:val="04A0" w:firstRow="1" w:lastRow="0" w:firstColumn="1" w:lastColumn="0" w:noHBand="0" w:noVBand="1"/>
            </w:tblPr>
            <w:tblGrid>
              <w:gridCol w:w="96"/>
            </w:tblGrid>
            <w:tr w:rsidR="00226190" w:rsidRPr="00226190" w14:paraId="7F3D60D8" w14:textId="77777777">
              <w:trPr>
                <w:tblCellSpacing w:w="15" w:type="dxa"/>
                <w:hidden/>
              </w:trPr>
              <w:tc>
                <w:tcPr>
                  <w:tcW w:w="0" w:type="auto"/>
                  <w:tcMar>
                    <w:top w:w="15" w:type="dxa"/>
                    <w:left w:w="15" w:type="dxa"/>
                    <w:bottom w:w="15" w:type="dxa"/>
                    <w:right w:w="15" w:type="dxa"/>
                  </w:tcMar>
                  <w:vAlign w:val="center"/>
                  <w:hideMark/>
                </w:tcPr>
                <w:p w14:paraId="12DB3999" w14:textId="77777777" w:rsidR="00226190" w:rsidRPr="00226190" w:rsidRDefault="00226190" w:rsidP="00226190">
                  <w:pPr>
                    <w:jc w:val="center"/>
                    <w:rPr>
                      <w:rFonts w:ascii="Garamond" w:hAnsi="Garamond" w:cs="Times New Roman"/>
                      <w:vanish/>
                    </w:rPr>
                  </w:pPr>
                </w:p>
              </w:tc>
            </w:tr>
          </w:tbl>
          <w:p w14:paraId="70B93C7F"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3F2B59C0" w14:textId="77777777">
        <w:tc>
          <w:tcPr>
            <w:tcW w:w="1872" w:type="dxa"/>
            <w:tcBorders>
              <w:top w:val="single" w:sz="4" w:space="0" w:color="auto"/>
              <w:left w:val="single" w:sz="4" w:space="0" w:color="auto"/>
              <w:bottom w:val="single" w:sz="4" w:space="0" w:color="auto"/>
              <w:right w:val="single" w:sz="4" w:space="0" w:color="auto"/>
            </w:tcBorders>
            <w:hideMark/>
          </w:tcPr>
          <w:p w14:paraId="3AEB7EE9"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Stakeholder Interview Completed</w:t>
            </w:r>
          </w:p>
        </w:tc>
        <w:tc>
          <w:tcPr>
            <w:tcW w:w="1381" w:type="dxa"/>
            <w:tcBorders>
              <w:top w:val="single" w:sz="4" w:space="0" w:color="auto"/>
              <w:left w:val="single" w:sz="4" w:space="0" w:color="auto"/>
              <w:bottom w:val="single" w:sz="4" w:space="0" w:color="auto"/>
              <w:right w:val="single" w:sz="4" w:space="0" w:color="auto"/>
            </w:tcBorders>
            <w:hideMark/>
          </w:tcPr>
          <w:p w14:paraId="777072BA"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October 23,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226190" w:rsidRPr="00226190" w14:paraId="64C1B4F7" w14:textId="77777777">
              <w:trPr>
                <w:tblCellSpacing w:w="15" w:type="dxa"/>
              </w:trPr>
              <w:tc>
                <w:tcPr>
                  <w:tcW w:w="0" w:type="auto"/>
                  <w:tcMar>
                    <w:top w:w="15" w:type="dxa"/>
                    <w:left w:w="15" w:type="dxa"/>
                    <w:bottom w:w="15" w:type="dxa"/>
                    <w:right w:w="15" w:type="dxa"/>
                  </w:tcMar>
                  <w:vAlign w:val="center"/>
                  <w:hideMark/>
                </w:tcPr>
                <w:p w14:paraId="2FEE51B7" w14:textId="3CEA3134" w:rsidR="00226190" w:rsidRPr="00226190" w:rsidRDefault="00226190" w:rsidP="00226190">
                  <w:pPr>
                    <w:jc w:val="center"/>
                    <w:rPr>
                      <w:rFonts w:ascii="Garamond" w:hAnsi="Garamond" w:cs="Times New Roman"/>
                    </w:rPr>
                  </w:pPr>
                  <w:r w:rsidRPr="00226190">
                    <w:rPr>
                      <w:rFonts w:ascii="Garamond" w:hAnsi="Garamond" w:cs="Times New Roman"/>
                    </w:rPr>
                    <w:t xml:space="preserve">A structured interview will be conducted with a BCBA (Kelsi Dye, MA, BCBA) to identify current pain points, </w:t>
                  </w:r>
                  <w:proofErr w:type="spellStart"/>
                  <w:r w:rsidRPr="00226190">
                    <w:rPr>
                      <w:rFonts w:ascii="Garamond" w:hAnsi="Garamond" w:cs="Times New Roman"/>
                    </w:rPr>
                    <w:t>documentationinconsistencies</w:t>
                  </w:r>
                  <w:proofErr w:type="spellEnd"/>
                  <w:r w:rsidRPr="00226190">
                    <w:rPr>
                      <w:rFonts w:ascii="Garamond" w:hAnsi="Garamond" w:cs="Times New Roman"/>
                    </w:rPr>
                    <w:t xml:space="preserve">, and barriers to Medicaid </w:t>
                  </w:r>
                  <w:r w:rsidRPr="00226190">
                    <w:rPr>
                      <w:rFonts w:ascii="Garamond" w:hAnsi="Garamond" w:cs="Times New Roman"/>
                    </w:rPr>
                    <w:lastRenderedPageBreak/>
                    <w:t>compliance. Feedback will directly shape checklist design and staff training content.</w:t>
                  </w:r>
                </w:p>
              </w:tc>
            </w:tr>
          </w:tbl>
          <w:p w14:paraId="76485F9D" w14:textId="77777777" w:rsidR="00226190" w:rsidRPr="00226190" w:rsidRDefault="00226190" w:rsidP="00226190">
            <w:pPr>
              <w:spacing w:after="160" w:line="278" w:lineRule="auto"/>
              <w:jc w:val="center"/>
              <w:rPr>
                <w:rFonts w:ascii="Garamond" w:hAnsi="Garamond" w:cs="Times New Roman"/>
                <w:vanish/>
                <w:sz w:val="24"/>
                <w:szCs w:val="24"/>
              </w:rPr>
            </w:pPr>
          </w:p>
          <w:tbl>
            <w:tblPr>
              <w:tblW w:w="0" w:type="auto"/>
              <w:tblCellSpacing w:w="15" w:type="dxa"/>
              <w:tblLook w:val="04A0" w:firstRow="1" w:lastRow="0" w:firstColumn="1" w:lastColumn="0" w:noHBand="0" w:noVBand="1"/>
            </w:tblPr>
            <w:tblGrid>
              <w:gridCol w:w="96"/>
            </w:tblGrid>
            <w:tr w:rsidR="00226190" w:rsidRPr="00226190" w14:paraId="0F32B0BE" w14:textId="77777777">
              <w:trPr>
                <w:tblCellSpacing w:w="15" w:type="dxa"/>
                <w:hidden/>
              </w:trPr>
              <w:tc>
                <w:tcPr>
                  <w:tcW w:w="0" w:type="auto"/>
                  <w:tcMar>
                    <w:top w:w="15" w:type="dxa"/>
                    <w:left w:w="15" w:type="dxa"/>
                    <w:bottom w:w="15" w:type="dxa"/>
                    <w:right w:w="15" w:type="dxa"/>
                  </w:tcMar>
                  <w:vAlign w:val="center"/>
                  <w:hideMark/>
                </w:tcPr>
                <w:p w14:paraId="5188FBDA" w14:textId="77777777" w:rsidR="00226190" w:rsidRPr="00226190" w:rsidRDefault="00226190" w:rsidP="00226190">
                  <w:pPr>
                    <w:jc w:val="center"/>
                    <w:rPr>
                      <w:rFonts w:ascii="Garamond" w:hAnsi="Garamond" w:cs="Times New Roman"/>
                      <w:vanish/>
                    </w:rPr>
                  </w:pPr>
                </w:p>
              </w:tc>
            </w:tr>
          </w:tbl>
          <w:p w14:paraId="26B314A2"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132CB9D9" w14:textId="77777777">
        <w:tc>
          <w:tcPr>
            <w:tcW w:w="1872" w:type="dxa"/>
            <w:tcBorders>
              <w:top w:val="single" w:sz="4" w:space="0" w:color="auto"/>
              <w:left w:val="single" w:sz="4" w:space="0" w:color="auto"/>
              <w:bottom w:val="single" w:sz="4" w:space="0" w:color="auto"/>
              <w:right w:val="single" w:sz="4" w:space="0" w:color="auto"/>
            </w:tcBorders>
            <w:hideMark/>
          </w:tcPr>
          <w:p w14:paraId="7D1EFEDA"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Intervention List</w:t>
            </w:r>
          </w:p>
        </w:tc>
        <w:tc>
          <w:tcPr>
            <w:tcW w:w="1381" w:type="dxa"/>
            <w:tcBorders>
              <w:top w:val="single" w:sz="4" w:space="0" w:color="auto"/>
              <w:left w:val="single" w:sz="4" w:space="0" w:color="auto"/>
              <w:bottom w:val="single" w:sz="4" w:space="0" w:color="auto"/>
              <w:right w:val="single" w:sz="4" w:space="0" w:color="auto"/>
            </w:tcBorders>
            <w:hideMark/>
          </w:tcPr>
          <w:p w14:paraId="2923E4D0"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October 23,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226190" w:rsidRPr="00226190" w14:paraId="672CC632" w14:textId="77777777">
              <w:trPr>
                <w:tblCellSpacing w:w="15" w:type="dxa"/>
              </w:trPr>
              <w:tc>
                <w:tcPr>
                  <w:tcW w:w="0" w:type="auto"/>
                  <w:tcMar>
                    <w:top w:w="15" w:type="dxa"/>
                    <w:left w:w="15" w:type="dxa"/>
                    <w:bottom w:w="15" w:type="dxa"/>
                    <w:right w:w="15" w:type="dxa"/>
                  </w:tcMar>
                  <w:vAlign w:val="center"/>
                  <w:hideMark/>
                </w:tcPr>
                <w:p w14:paraId="610DBD87" w14:textId="77777777" w:rsidR="00226190" w:rsidRPr="00226190" w:rsidRDefault="00226190" w:rsidP="00226190">
                  <w:pPr>
                    <w:jc w:val="center"/>
                    <w:rPr>
                      <w:rFonts w:ascii="Garamond" w:hAnsi="Garamond" w:cs="Times New Roman"/>
                    </w:rPr>
                  </w:pPr>
                  <w:r w:rsidRPr="00226190">
                    <w:rPr>
                      <w:rFonts w:ascii="Garamond" w:hAnsi="Garamond" w:cs="Times New Roman"/>
                    </w:rPr>
                    <w:t xml:space="preserve">The final intervention plan will include eight structured phases: (1) baseline audit, (2) checklist design, (3) electronic template </w:t>
                  </w:r>
                  <w:proofErr w:type="gramStart"/>
                  <w:r w:rsidRPr="00226190">
                    <w:rPr>
                      <w:rFonts w:ascii="Garamond" w:hAnsi="Garamond" w:cs="Times New Roman"/>
                    </w:rPr>
                    <w:t>build</w:t>
                  </w:r>
                  <w:proofErr w:type="gramEnd"/>
                  <w:r w:rsidRPr="00226190">
                    <w:rPr>
                      <w:rFonts w:ascii="Garamond" w:hAnsi="Garamond" w:cs="Times New Roman"/>
                    </w:rPr>
                    <w:t xml:space="preserve"> in </w:t>
                  </w:r>
                  <w:proofErr w:type="spellStart"/>
                  <w:r w:rsidRPr="00226190">
                    <w:rPr>
                      <w:rFonts w:ascii="Garamond" w:hAnsi="Garamond" w:cs="Times New Roman"/>
                    </w:rPr>
                    <w:t>CentralReach</w:t>
                  </w:r>
                  <w:proofErr w:type="spellEnd"/>
                  <w:r w:rsidRPr="00226190">
                    <w:rPr>
                      <w:rFonts w:ascii="Garamond" w:hAnsi="Garamond" w:cs="Times New Roman"/>
                    </w:rPr>
                    <w:t>, (4) staff training using BST, (5) pilot testing, (6) system-wide rollout, (7) monthly DCAT audits, and (8) quarterly PDSA cycle review. Each step will specify responsible personnel and performance metrics.</w:t>
                  </w:r>
                </w:p>
              </w:tc>
            </w:tr>
          </w:tbl>
          <w:p w14:paraId="3BBC6A6B" w14:textId="77777777" w:rsidR="00226190" w:rsidRPr="00226190" w:rsidRDefault="00226190" w:rsidP="00226190">
            <w:pPr>
              <w:spacing w:after="160" w:line="278" w:lineRule="auto"/>
              <w:jc w:val="center"/>
              <w:rPr>
                <w:rFonts w:ascii="Garamond" w:hAnsi="Garamond" w:cs="Times New Roman"/>
                <w:vanish/>
                <w:sz w:val="24"/>
                <w:szCs w:val="24"/>
              </w:rPr>
            </w:pPr>
          </w:p>
          <w:tbl>
            <w:tblPr>
              <w:tblW w:w="0" w:type="auto"/>
              <w:tblCellSpacing w:w="15" w:type="dxa"/>
              <w:tblLook w:val="04A0" w:firstRow="1" w:lastRow="0" w:firstColumn="1" w:lastColumn="0" w:noHBand="0" w:noVBand="1"/>
            </w:tblPr>
            <w:tblGrid>
              <w:gridCol w:w="96"/>
            </w:tblGrid>
            <w:tr w:rsidR="00226190" w:rsidRPr="00226190" w14:paraId="55C24785" w14:textId="77777777">
              <w:trPr>
                <w:tblCellSpacing w:w="15" w:type="dxa"/>
                <w:hidden/>
              </w:trPr>
              <w:tc>
                <w:tcPr>
                  <w:tcW w:w="0" w:type="auto"/>
                  <w:tcMar>
                    <w:top w:w="15" w:type="dxa"/>
                    <w:left w:w="15" w:type="dxa"/>
                    <w:bottom w:w="15" w:type="dxa"/>
                    <w:right w:w="15" w:type="dxa"/>
                  </w:tcMar>
                  <w:vAlign w:val="center"/>
                  <w:hideMark/>
                </w:tcPr>
                <w:p w14:paraId="464B672F" w14:textId="77777777" w:rsidR="00226190" w:rsidRPr="00226190" w:rsidRDefault="00226190" w:rsidP="00226190">
                  <w:pPr>
                    <w:jc w:val="center"/>
                    <w:rPr>
                      <w:rFonts w:ascii="Garamond" w:hAnsi="Garamond" w:cs="Times New Roman"/>
                      <w:vanish/>
                    </w:rPr>
                  </w:pPr>
                </w:p>
              </w:tc>
            </w:tr>
          </w:tbl>
          <w:p w14:paraId="193EA42B"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28558CAB" w14:textId="77777777">
        <w:tc>
          <w:tcPr>
            <w:tcW w:w="1872" w:type="dxa"/>
            <w:tcBorders>
              <w:top w:val="single" w:sz="4" w:space="0" w:color="auto"/>
              <w:left w:val="single" w:sz="4" w:space="0" w:color="auto"/>
              <w:bottom w:val="single" w:sz="4" w:space="0" w:color="auto"/>
              <w:right w:val="single" w:sz="4" w:space="0" w:color="auto"/>
            </w:tcBorders>
            <w:hideMark/>
          </w:tcPr>
          <w:p w14:paraId="35E28476"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Measure Identification</w:t>
            </w:r>
          </w:p>
        </w:tc>
        <w:tc>
          <w:tcPr>
            <w:tcW w:w="1381" w:type="dxa"/>
            <w:tcBorders>
              <w:top w:val="single" w:sz="4" w:space="0" w:color="auto"/>
              <w:left w:val="single" w:sz="4" w:space="0" w:color="auto"/>
              <w:bottom w:val="single" w:sz="4" w:space="0" w:color="auto"/>
              <w:right w:val="single" w:sz="4" w:space="0" w:color="auto"/>
            </w:tcBorders>
            <w:hideMark/>
          </w:tcPr>
          <w:p w14:paraId="4E007969"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October 23,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226190" w:rsidRPr="00226190" w14:paraId="1038E4CD" w14:textId="77777777">
              <w:trPr>
                <w:tblCellSpacing w:w="15" w:type="dxa"/>
              </w:trPr>
              <w:tc>
                <w:tcPr>
                  <w:tcW w:w="0" w:type="auto"/>
                  <w:tcMar>
                    <w:top w:w="15" w:type="dxa"/>
                    <w:left w:w="15" w:type="dxa"/>
                    <w:bottom w:w="15" w:type="dxa"/>
                    <w:right w:w="15" w:type="dxa"/>
                  </w:tcMar>
                  <w:vAlign w:val="center"/>
                  <w:hideMark/>
                </w:tcPr>
                <w:p w14:paraId="033E831F" w14:textId="77777777" w:rsidR="00226190" w:rsidRPr="00226190" w:rsidRDefault="00226190" w:rsidP="00226190">
                  <w:pPr>
                    <w:jc w:val="center"/>
                    <w:rPr>
                      <w:rFonts w:ascii="Garamond" w:hAnsi="Garamond" w:cs="Times New Roman"/>
                    </w:rPr>
                  </w:pPr>
                  <w:r w:rsidRPr="00226190">
                    <w:rPr>
                      <w:rFonts w:ascii="Garamond" w:hAnsi="Garamond" w:cs="Times New Roman"/>
                    </w:rPr>
                    <w:t xml:space="preserve">The </w:t>
                  </w:r>
                  <w:r w:rsidRPr="00226190">
                    <w:rPr>
                      <w:rFonts w:ascii="Garamond" w:hAnsi="Garamond" w:cs="Times New Roman"/>
                      <w:i/>
                      <w:iCs/>
                    </w:rPr>
                    <w:t>Documentation Compliance Audit Tool (DCAT)</w:t>
                  </w:r>
                  <w:r w:rsidRPr="00226190">
                    <w:rPr>
                      <w:rFonts w:ascii="Garamond" w:hAnsi="Garamond" w:cs="Times New Roman"/>
                    </w:rPr>
                    <w:t xml:space="preserve"> will serve as the primary measure of documentation accuracy. Secondary measures include claim denial rate, time-to-finalize notes, and staff satisfaction. Audit data will be compared monthly to monitor improvement.</w:t>
                  </w:r>
                </w:p>
              </w:tc>
            </w:tr>
          </w:tbl>
          <w:p w14:paraId="71AE4A37" w14:textId="77777777" w:rsidR="00226190" w:rsidRPr="00226190" w:rsidRDefault="00226190" w:rsidP="00226190">
            <w:pPr>
              <w:spacing w:after="160" w:line="278" w:lineRule="auto"/>
              <w:jc w:val="center"/>
              <w:rPr>
                <w:rFonts w:ascii="Garamond" w:hAnsi="Garamond" w:cs="Times New Roman"/>
                <w:vanish/>
                <w:sz w:val="24"/>
                <w:szCs w:val="24"/>
              </w:rPr>
            </w:pPr>
          </w:p>
          <w:tbl>
            <w:tblPr>
              <w:tblW w:w="0" w:type="auto"/>
              <w:tblCellSpacing w:w="15" w:type="dxa"/>
              <w:tblLook w:val="04A0" w:firstRow="1" w:lastRow="0" w:firstColumn="1" w:lastColumn="0" w:noHBand="0" w:noVBand="1"/>
            </w:tblPr>
            <w:tblGrid>
              <w:gridCol w:w="96"/>
            </w:tblGrid>
            <w:tr w:rsidR="00226190" w:rsidRPr="00226190" w14:paraId="39494D23" w14:textId="77777777">
              <w:trPr>
                <w:tblCellSpacing w:w="15" w:type="dxa"/>
                <w:hidden/>
              </w:trPr>
              <w:tc>
                <w:tcPr>
                  <w:tcW w:w="0" w:type="auto"/>
                  <w:tcMar>
                    <w:top w:w="15" w:type="dxa"/>
                    <w:left w:w="15" w:type="dxa"/>
                    <w:bottom w:w="15" w:type="dxa"/>
                    <w:right w:w="15" w:type="dxa"/>
                  </w:tcMar>
                  <w:vAlign w:val="center"/>
                  <w:hideMark/>
                </w:tcPr>
                <w:p w14:paraId="4662043C" w14:textId="77777777" w:rsidR="00226190" w:rsidRPr="00226190" w:rsidRDefault="00226190" w:rsidP="00226190">
                  <w:pPr>
                    <w:jc w:val="center"/>
                    <w:rPr>
                      <w:rFonts w:ascii="Garamond" w:hAnsi="Garamond" w:cs="Times New Roman"/>
                      <w:vanish/>
                    </w:rPr>
                  </w:pPr>
                </w:p>
              </w:tc>
            </w:tr>
          </w:tbl>
          <w:p w14:paraId="4C20FB4D"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31160851" w14:textId="77777777">
        <w:tc>
          <w:tcPr>
            <w:tcW w:w="1872" w:type="dxa"/>
            <w:tcBorders>
              <w:top w:val="single" w:sz="4" w:space="0" w:color="auto"/>
              <w:left w:val="single" w:sz="4" w:space="0" w:color="auto"/>
              <w:bottom w:val="single" w:sz="4" w:space="0" w:color="auto"/>
              <w:right w:val="single" w:sz="4" w:space="0" w:color="auto"/>
            </w:tcBorders>
            <w:hideMark/>
          </w:tcPr>
          <w:p w14:paraId="750251D6"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Method Section</w:t>
            </w:r>
          </w:p>
        </w:tc>
        <w:tc>
          <w:tcPr>
            <w:tcW w:w="1381" w:type="dxa"/>
            <w:tcBorders>
              <w:top w:val="single" w:sz="4" w:space="0" w:color="auto"/>
              <w:left w:val="single" w:sz="4" w:space="0" w:color="auto"/>
              <w:bottom w:val="single" w:sz="4" w:space="0" w:color="auto"/>
              <w:right w:val="single" w:sz="4" w:space="0" w:color="auto"/>
            </w:tcBorders>
            <w:hideMark/>
          </w:tcPr>
          <w:p w14:paraId="750A7726"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October 29,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226190" w:rsidRPr="00226190" w14:paraId="1EC0BE33" w14:textId="77777777">
              <w:trPr>
                <w:tblCellSpacing w:w="15" w:type="dxa"/>
              </w:trPr>
              <w:tc>
                <w:tcPr>
                  <w:tcW w:w="0" w:type="auto"/>
                  <w:tcMar>
                    <w:top w:w="15" w:type="dxa"/>
                    <w:left w:w="15" w:type="dxa"/>
                    <w:bottom w:w="15" w:type="dxa"/>
                    <w:right w:w="15" w:type="dxa"/>
                  </w:tcMar>
                  <w:vAlign w:val="center"/>
                  <w:hideMark/>
                </w:tcPr>
                <w:p w14:paraId="2D89E91D" w14:textId="77777777" w:rsidR="00226190" w:rsidRPr="00226190" w:rsidRDefault="00226190" w:rsidP="00226190">
                  <w:pPr>
                    <w:jc w:val="center"/>
                    <w:rPr>
                      <w:rFonts w:ascii="Garamond" w:hAnsi="Garamond" w:cs="Times New Roman"/>
                    </w:rPr>
                  </w:pPr>
                  <w:r w:rsidRPr="00226190">
                    <w:rPr>
                      <w:rFonts w:ascii="Garamond" w:hAnsi="Garamond" w:cs="Times New Roman"/>
                    </w:rPr>
                    <w:t xml:space="preserve">The project will follow a combined Plan–Do–Study–Act (PDSA) and Lean Six Sigma framework. Data will be collected through </w:t>
                  </w:r>
                  <w:proofErr w:type="spellStart"/>
                  <w:r w:rsidRPr="00226190">
                    <w:rPr>
                      <w:rFonts w:ascii="Garamond" w:hAnsi="Garamond" w:cs="Times New Roman"/>
                    </w:rPr>
                    <w:t>CentralReach</w:t>
                  </w:r>
                  <w:proofErr w:type="spellEnd"/>
                  <w:r w:rsidRPr="00226190">
                    <w:rPr>
                      <w:rFonts w:ascii="Garamond" w:hAnsi="Garamond" w:cs="Times New Roman"/>
                    </w:rPr>
                    <w:t>, internal audits, and surveys. Reliability will be maintained through dual scoring of 10% of notes each month.</w:t>
                  </w:r>
                </w:p>
              </w:tc>
            </w:tr>
          </w:tbl>
          <w:p w14:paraId="634D7B00" w14:textId="77777777" w:rsidR="00226190" w:rsidRPr="00226190" w:rsidRDefault="00226190" w:rsidP="00226190">
            <w:pPr>
              <w:spacing w:after="160" w:line="278" w:lineRule="auto"/>
              <w:jc w:val="center"/>
              <w:rPr>
                <w:rFonts w:ascii="Garamond" w:hAnsi="Garamond" w:cs="Times New Roman"/>
                <w:vanish/>
                <w:sz w:val="24"/>
                <w:szCs w:val="24"/>
              </w:rPr>
            </w:pPr>
          </w:p>
          <w:tbl>
            <w:tblPr>
              <w:tblW w:w="0" w:type="auto"/>
              <w:tblCellSpacing w:w="15" w:type="dxa"/>
              <w:tblLook w:val="04A0" w:firstRow="1" w:lastRow="0" w:firstColumn="1" w:lastColumn="0" w:noHBand="0" w:noVBand="1"/>
            </w:tblPr>
            <w:tblGrid>
              <w:gridCol w:w="96"/>
            </w:tblGrid>
            <w:tr w:rsidR="00226190" w:rsidRPr="00226190" w14:paraId="482B2C58" w14:textId="77777777">
              <w:trPr>
                <w:tblCellSpacing w:w="15" w:type="dxa"/>
                <w:hidden/>
              </w:trPr>
              <w:tc>
                <w:tcPr>
                  <w:tcW w:w="0" w:type="auto"/>
                  <w:tcMar>
                    <w:top w:w="15" w:type="dxa"/>
                    <w:left w:w="15" w:type="dxa"/>
                    <w:bottom w:w="15" w:type="dxa"/>
                    <w:right w:w="15" w:type="dxa"/>
                  </w:tcMar>
                  <w:vAlign w:val="center"/>
                  <w:hideMark/>
                </w:tcPr>
                <w:p w14:paraId="2E748BFD" w14:textId="77777777" w:rsidR="00226190" w:rsidRPr="00226190" w:rsidRDefault="00226190" w:rsidP="00226190">
                  <w:pPr>
                    <w:jc w:val="center"/>
                    <w:rPr>
                      <w:rFonts w:ascii="Garamond" w:hAnsi="Garamond" w:cs="Times New Roman"/>
                      <w:vanish/>
                    </w:rPr>
                  </w:pPr>
                </w:p>
              </w:tc>
            </w:tr>
          </w:tbl>
          <w:p w14:paraId="3B511817"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233D312B" w14:textId="77777777">
        <w:tc>
          <w:tcPr>
            <w:tcW w:w="1872" w:type="dxa"/>
            <w:tcBorders>
              <w:top w:val="single" w:sz="4" w:space="0" w:color="auto"/>
              <w:left w:val="single" w:sz="4" w:space="0" w:color="auto"/>
              <w:bottom w:val="single" w:sz="4" w:space="0" w:color="auto"/>
              <w:right w:val="single" w:sz="4" w:space="0" w:color="auto"/>
            </w:tcBorders>
            <w:hideMark/>
          </w:tcPr>
          <w:p w14:paraId="3549DCB9"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Proposed Timeline</w:t>
            </w:r>
          </w:p>
        </w:tc>
        <w:tc>
          <w:tcPr>
            <w:tcW w:w="1381" w:type="dxa"/>
            <w:tcBorders>
              <w:top w:val="single" w:sz="4" w:space="0" w:color="auto"/>
              <w:left w:val="single" w:sz="4" w:space="0" w:color="auto"/>
              <w:bottom w:val="single" w:sz="4" w:space="0" w:color="auto"/>
              <w:right w:val="single" w:sz="4" w:space="0" w:color="auto"/>
            </w:tcBorders>
            <w:hideMark/>
          </w:tcPr>
          <w:p w14:paraId="6DA5821E"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November 5,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226190" w:rsidRPr="00226190" w14:paraId="4ACC1EE3" w14:textId="77777777">
              <w:trPr>
                <w:tblCellSpacing w:w="15" w:type="dxa"/>
              </w:trPr>
              <w:tc>
                <w:tcPr>
                  <w:tcW w:w="0" w:type="auto"/>
                  <w:tcMar>
                    <w:top w:w="15" w:type="dxa"/>
                    <w:left w:w="15" w:type="dxa"/>
                    <w:bottom w:w="15" w:type="dxa"/>
                    <w:right w:w="15" w:type="dxa"/>
                  </w:tcMar>
                  <w:vAlign w:val="center"/>
                  <w:hideMark/>
                </w:tcPr>
                <w:p w14:paraId="017D9BBC" w14:textId="77777777" w:rsidR="00226190" w:rsidRPr="00226190" w:rsidRDefault="00226190" w:rsidP="00226190">
                  <w:pPr>
                    <w:jc w:val="center"/>
                    <w:rPr>
                      <w:rFonts w:ascii="Garamond" w:hAnsi="Garamond" w:cs="Times New Roman"/>
                    </w:rPr>
                  </w:pPr>
                  <w:r w:rsidRPr="00226190">
                    <w:rPr>
                      <w:rFonts w:ascii="Garamond" w:hAnsi="Garamond" w:cs="Times New Roman"/>
                    </w:rPr>
                    <w:t>A six-month implementation and sustainment schedule will be followed: baseline and checklist development (Dec 2025–Jan 2026), staff training and pilot testing (Jan–Feb 2026), system-wide rollout (Mar 2026), and monthly audit and feedback cycles (Apr–Jun 2026). Quarterly PDSA reviews will be conducted throughout to guide iterative improvement and ensure sustainability.</w:t>
                  </w:r>
                </w:p>
              </w:tc>
            </w:tr>
          </w:tbl>
          <w:p w14:paraId="13C9CF06" w14:textId="77777777" w:rsidR="00226190" w:rsidRPr="00226190" w:rsidRDefault="00226190" w:rsidP="00226190">
            <w:pPr>
              <w:spacing w:after="160" w:line="278" w:lineRule="auto"/>
              <w:jc w:val="center"/>
              <w:rPr>
                <w:rFonts w:ascii="Garamond" w:hAnsi="Garamond" w:cs="Times New Roman"/>
                <w:vanish/>
                <w:sz w:val="24"/>
                <w:szCs w:val="24"/>
              </w:rPr>
            </w:pPr>
          </w:p>
          <w:tbl>
            <w:tblPr>
              <w:tblW w:w="0" w:type="auto"/>
              <w:tblCellSpacing w:w="15" w:type="dxa"/>
              <w:tblLook w:val="04A0" w:firstRow="1" w:lastRow="0" w:firstColumn="1" w:lastColumn="0" w:noHBand="0" w:noVBand="1"/>
            </w:tblPr>
            <w:tblGrid>
              <w:gridCol w:w="96"/>
            </w:tblGrid>
            <w:tr w:rsidR="00226190" w:rsidRPr="00226190" w14:paraId="6C6C36B1" w14:textId="77777777">
              <w:trPr>
                <w:tblCellSpacing w:w="15" w:type="dxa"/>
                <w:hidden/>
              </w:trPr>
              <w:tc>
                <w:tcPr>
                  <w:tcW w:w="0" w:type="auto"/>
                  <w:tcMar>
                    <w:top w:w="15" w:type="dxa"/>
                    <w:left w:w="15" w:type="dxa"/>
                    <w:bottom w:w="15" w:type="dxa"/>
                    <w:right w:w="15" w:type="dxa"/>
                  </w:tcMar>
                  <w:vAlign w:val="center"/>
                  <w:hideMark/>
                </w:tcPr>
                <w:p w14:paraId="4017CEFB" w14:textId="77777777" w:rsidR="00226190" w:rsidRPr="00226190" w:rsidRDefault="00226190" w:rsidP="00226190">
                  <w:pPr>
                    <w:jc w:val="center"/>
                    <w:rPr>
                      <w:rFonts w:ascii="Garamond" w:hAnsi="Garamond" w:cs="Times New Roman"/>
                      <w:vanish/>
                    </w:rPr>
                  </w:pPr>
                </w:p>
              </w:tc>
            </w:tr>
          </w:tbl>
          <w:p w14:paraId="0E7B1765"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435E9ED4" w14:textId="77777777">
        <w:tc>
          <w:tcPr>
            <w:tcW w:w="1872" w:type="dxa"/>
            <w:tcBorders>
              <w:top w:val="single" w:sz="4" w:space="0" w:color="auto"/>
              <w:left w:val="single" w:sz="4" w:space="0" w:color="auto"/>
              <w:bottom w:val="single" w:sz="4" w:space="0" w:color="auto"/>
              <w:right w:val="single" w:sz="4" w:space="0" w:color="auto"/>
            </w:tcBorders>
            <w:hideMark/>
          </w:tcPr>
          <w:p w14:paraId="7D94104A"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Proposed Budget</w:t>
            </w:r>
          </w:p>
        </w:tc>
        <w:tc>
          <w:tcPr>
            <w:tcW w:w="1381" w:type="dxa"/>
            <w:tcBorders>
              <w:top w:val="single" w:sz="4" w:space="0" w:color="auto"/>
              <w:left w:val="single" w:sz="4" w:space="0" w:color="auto"/>
              <w:bottom w:val="single" w:sz="4" w:space="0" w:color="auto"/>
              <w:right w:val="single" w:sz="4" w:space="0" w:color="auto"/>
            </w:tcBorders>
            <w:hideMark/>
          </w:tcPr>
          <w:p w14:paraId="3441E6A3"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November 12,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226190" w:rsidRPr="00226190" w14:paraId="46F49FAD" w14:textId="77777777">
              <w:trPr>
                <w:tblCellSpacing w:w="15" w:type="dxa"/>
              </w:trPr>
              <w:tc>
                <w:tcPr>
                  <w:tcW w:w="0" w:type="auto"/>
                  <w:tcMar>
                    <w:top w:w="15" w:type="dxa"/>
                    <w:left w:w="15" w:type="dxa"/>
                    <w:bottom w:w="15" w:type="dxa"/>
                    <w:right w:w="15" w:type="dxa"/>
                  </w:tcMar>
                  <w:vAlign w:val="center"/>
                  <w:hideMark/>
                </w:tcPr>
                <w:p w14:paraId="5F39C983" w14:textId="77777777" w:rsidR="00226190" w:rsidRPr="00226190" w:rsidRDefault="00226190" w:rsidP="00226190">
                  <w:pPr>
                    <w:jc w:val="center"/>
                    <w:rPr>
                      <w:rFonts w:ascii="Garamond" w:hAnsi="Garamond" w:cs="Times New Roman"/>
                    </w:rPr>
                  </w:pPr>
                  <w:r w:rsidRPr="00226190">
                    <w:rPr>
                      <w:rFonts w:ascii="Garamond" w:hAnsi="Garamond" w:cs="Times New Roman"/>
                    </w:rPr>
                    <w:t xml:space="preserve">Estimated internal costs include QA analyst auditing hours, staff training time, and </w:t>
                  </w:r>
                  <w:proofErr w:type="spellStart"/>
                  <w:r w:rsidRPr="00226190">
                    <w:rPr>
                      <w:rFonts w:ascii="Garamond" w:hAnsi="Garamond" w:cs="Times New Roman"/>
                    </w:rPr>
                    <w:t>CentralReach</w:t>
                  </w:r>
                  <w:proofErr w:type="spellEnd"/>
                  <w:r w:rsidRPr="00226190">
                    <w:rPr>
                      <w:rFonts w:ascii="Garamond" w:hAnsi="Garamond" w:cs="Times New Roman"/>
                    </w:rPr>
                    <w:t xml:space="preserve"> administrative updates. Anticipated savings will derive from reduced claim denials and decreased rework time. Projected ROI: improved reimbursement accuracy and reduced operational waste.</w:t>
                  </w:r>
                </w:p>
              </w:tc>
            </w:tr>
          </w:tbl>
          <w:p w14:paraId="319E77B5" w14:textId="77777777" w:rsidR="00226190" w:rsidRPr="00226190" w:rsidRDefault="00226190" w:rsidP="00226190">
            <w:pPr>
              <w:spacing w:after="160" w:line="278" w:lineRule="auto"/>
              <w:jc w:val="center"/>
              <w:rPr>
                <w:rFonts w:ascii="Garamond" w:hAnsi="Garamond" w:cs="Times New Roman"/>
                <w:vanish/>
                <w:sz w:val="24"/>
                <w:szCs w:val="24"/>
              </w:rPr>
            </w:pPr>
          </w:p>
          <w:tbl>
            <w:tblPr>
              <w:tblW w:w="0" w:type="auto"/>
              <w:tblCellSpacing w:w="15" w:type="dxa"/>
              <w:tblLook w:val="04A0" w:firstRow="1" w:lastRow="0" w:firstColumn="1" w:lastColumn="0" w:noHBand="0" w:noVBand="1"/>
            </w:tblPr>
            <w:tblGrid>
              <w:gridCol w:w="96"/>
            </w:tblGrid>
            <w:tr w:rsidR="00226190" w:rsidRPr="00226190" w14:paraId="1F42524E" w14:textId="77777777">
              <w:trPr>
                <w:tblCellSpacing w:w="15" w:type="dxa"/>
                <w:hidden/>
              </w:trPr>
              <w:tc>
                <w:tcPr>
                  <w:tcW w:w="0" w:type="auto"/>
                  <w:tcMar>
                    <w:top w:w="15" w:type="dxa"/>
                    <w:left w:w="15" w:type="dxa"/>
                    <w:bottom w:w="15" w:type="dxa"/>
                    <w:right w:w="15" w:type="dxa"/>
                  </w:tcMar>
                  <w:vAlign w:val="center"/>
                  <w:hideMark/>
                </w:tcPr>
                <w:p w14:paraId="276315A6" w14:textId="77777777" w:rsidR="00226190" w:rsidRPr="00226190" w:rsidRDefault="00226190" w:rsidP="00226190">
                  <w:pPr>
                    <w:jc w:val="center"/>
                    <w:rPr>
                      <w:rFonts w:ascii="Garamond" w:hAnsi="Garamond" w:cs="Times New Roman"/>
                      <w:vanish/>
                    </w:rPr>
                  </w:pPr>
                </w:p>
              </w:tc>
            </w:tr>
          </w:tbl>
          <w:p w14:paraId="4E5C3B60"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0F40A183" w14:textId="77777777">
        <w:tc>
          <w:tcPr>
            <w:tcW w:w="1872" w:type="dxa"/>
            <w:tcBorders>
              <w:top w:val="single" w:sz="4" w:space="0" w:color="auto"/>
              <w:left w:val="single" w:sz="4" w:space="0" w:color="auto"/>
              <w:bottom w:val="single" w:sz="4" w:space="0" w:color="auto"/>
              <w:right w:val="single" w:sz="4" w:space="0" w:color="auto"/>
            </w:tcBorders>
            <w:hideMark/>
          </w:tcPr>
          <w:p w14:paraId="1FFFF366"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Visual Poster</w:t>
            </w:r>
          </w:p>
        </w:tc>
        <w:tc>
          <w:tcPr>
            <w:tcW w:w="1381" w:type="dxa"/>
            <w:tcBorders>
              <w:top w:val="single" w:sz="4" w:space="0" w:color="auto"/>
              <w:left w:val="single" w:sz="4" w:space="0" w:color="auto"/>
              <w:bottom w:val="single" w:sz="4" w:space="0" w:color="auto"/>
              <w:right w:val="single" w:sz="4" w:space="0" w:color="auto"/>
            </w:tcBorders>
            <w:hideMark/>
          </w:tcPr>
          <w:p w14:paraId="3929555D"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November 19, 2025</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226190" w:rsidRPr="00226190" w14:paraId="3E046CA2" w14:textId="77777777">
              <w:trPr>
                <w:tblCellSpacing w:w="15" w:type="dxa"/>
              </w:trPr>
              <w:tc>
                <w:tcPr>
                  <w:tcW w:w="0" w:type="auto"/>
                  <w:tcMar>
                    <w:top w:w="15" w:type="dxa"/>
                    <w:left w:w="15" w:type="dxa"/>
                    <w:bottom w:w="15" w:type="dxa"/>
                    <w:right w:w="15" w:type="dxa"/>
                  </w:tcMar>
                  <w:vAlign w:val="center"/>
                  <w:hideMark/>
                </w:tcPr>
                <w:p w14:paraId="01BCAB4D" w14:textId="77777777" w:rsidR="00226190" w:rsidRPr="00226190" w:rsidRDefault="00226190" w:rsidP="00226190">
                  <w:pPr>
                    <w:jc w:val="center"/>
                    <w:rPr>
                      <w:rFonts w:ascii="Garamond" w:hAnsi="Garamond" w:cs="Times New Roman"/>
                    </w:rPr>
                  </w:pPr>
                  <w:r w:rsidRPr="00226190">
                    <w:rPr>
                      <w:rFonts w:ascii="Garamond" w:hAnsi="Garamond" w:cs="Times New Roman"/>
                    </w:rPr>
                    <w:t>A professional poster will be developed to display project objectives, methods, outcomes (DCAT improvements, denial reductions), and lessons learned. It will be used for dissemination at ASU’s DBH Applied Project Showcase and internal Harsha QA meetings.</w:t>
                  </w:r>
                </w:p>
              </w:tc>
            </w:tr>
          </w:tbl>
          <w:p w14:paraId="4AC85D84" w14:textId="77777777" w:rsidR="00226190" w:rsidRPr="00226190" w:rsidRDefault="00226190" w:rsidP="00226190">
            <w:pPr>
              <w:spacing w:after="160" w:line="278" w:lineRule="auto"/>
              <w:jc w:val="center"/>
              <w:rPr>
                <w:rFonts w:ascii="Garamond" w:hAnsi="Garamond" w:cs="Times New Roman"/>
                <w:vanish/>
                <w:sz w:val="24"/>
                <w:szCs w:val="24"/>
              </w:rPr>
            </w:pPr>
          </w:p>
          <w:tbl>
            <w:tblPr>
              <w:tblW w:w="0" w:type="auto"/>
              <w:tblCellSpacing w:w="15" w:type="dxa"/>
              <w:tblLook w:val="04A0" w:firstRow="1" w:lastRow="0" w:firstColumn="1" w:lastColumn="0" w:noHBand="0" w:noVBand="1"/>
            </w:tblPr>
            <w:tblGrid>
              <w:gridCol w:w="96"/>
            </w:tblGrid>
            <w:tr w:rsidR="00226190" w:rsidRPr="00226190" w14:paraId="571C05F1" w14:textId="77777777">
              <w:trPr>
                <w:tblCellSpacing w:w="15" w:type="dxa"/>
                <w:hidden/>
              </w:trPr>
              <w:tc>
                <w:tcPr>
                  <w:tcW w:w="0" w:type="auto"/>
                  <w:tcMar>
                    <w:top w:w="15" w:type="dxa"/>
                    <w:left w:w="15" w:type="dxa"/>
                    <w:bottom w:w="15" w:type="dxa"/>
                    <w:right w:w="15" w:type="dxa"/>
                  </w:tcMar>
                  <w:vAlign w:val="center"/>
                  <w:hideMark/>
                </w:tcPr>
                <w:p w14:paraId="03B8798F" w14:textId="77777777" w:rsidR="00226190" w:rsidRPr="00226190" w:rsidRDefault="00226190" w:rsidP="00226190">
                  <w:pPr>
                    <w:jc w:val="center"/>
                    <w:rPr>
                      <w:rFonts w:ascii="Garamond" w:hAnsi="Garamond" w:cs="Times New Roman"/>
                      <w:vanish/>
                    </w:rPr>
                  </w:pPr>
                </w:p>
              </w:tc>
            </w:tr>
          </w:tbl>
          <w:p w14:paraId="691CC1B8"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78B05B73" w14:textId="77777777">
        <w:tc>
          <w:tcPr>
            <w:tcW w:w="1872" w:type="dxa"/>
            <w:tcBorders>
              <w:top w:val="single" w:sz="4" w:space="0" w:color="auto"/>
              <w:left w:val="single" w:sz="4" w:space="0" w:color="auto"/>
              <w:bottom w:val="single" w:sz="4" w:space="0" w:color="auto"/>
              <w:right w:val="single" w:sz="4" w:space="0" w:color="auto"/>
            </w:tcBorders>
            <w:hideMark/>
          </w:tcPr>
          <w:p w14:paraId="3D80E71F"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lastRenderedPageBreak/>
              <w:t xml:space="preserve">Digital Portfolio </w:t>
            </w:r>
          </w:p>
          <w:p w14:paraId="152F6383"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 xml:space="preserve">Creation </w:t>
            </w:r>
          </w:p>
        </w:tc>
        <w:tc>
          <w:tcPr>
            <w:tcW w:w="1381" w:type="dxa"/>
            <w:tcBorders>
              <w:top w:val="single" w:sz="4" w:space="0" w:color="auto"/>
              <w:left w:val="single" w:sz="4" w:space="0" w:color="auto"/>
              <w:bottom w:val="single" w:sz="4" w:space="0" w:color="auto"/>
              <w:right w:val="single" w:sz="4" w:space="0" w:color="auto"/>
            </w:tcBorders>
            <w:hideMark/>
          </w:tcPr>
          <w:p w14:paraId="5609447F"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December 3, 2025</w:t>
            </w:r>
          </w:p>
        </w:tc>
        <w:tc>
          <w:tcPr>
            <w:tcW w:w="6552" w:type="dxa"/>
            <w:tcBorders>
              <w:top w:val="single" w:sz="4" w:space="0" w:color="auto"/>
              <w:left w:val="single" w:sz="4" w:space="0" w:color="auto"/>
              <w:bottom w:val="single" w:sz="4" w:space="0" w:color="auto"/>
              <w:right w:val="single" w:sz="4" w:space="0" w:color="auto"/>
            </w:tcBorders>
          </w:tcPr>
          <w:p w14:paraId="3C95A6E9"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A digital portfolio will compile all deliverables, intervention results, and dissemination materials. It will include the literature review, methods, final audit data, stakeholder outcomes, and sustainability plan for ongoing Medicaid compliance monitoring.</w:t>
            </w:r>
          </w:p>
          <w:p w14:paraId="54310C43"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4C097758" w14:textId="77777777">
        <w:tc>
          <w:tcPr>
            <w:tcW w:w="9805" w:type="dxa"/>
            <w:gridSpan w:val="3"/>
            <w:tcBorders>
              <w:top w:val="single" w:sz="4" w:space="0" w:color="auto"/>
              <w:left w:val="single" w:sz="4" w:space="0" w:color="auto"/>
              <w:bottom w:val="single" w:sz="4" w:space="0" w:color="auto"/>
              <w:right w:val="single" w:sz="4" w:space="0" w:color="auto"/>
            </w:tcBorders>
            <w:shd w:val="clear" w:color="auto" w:fill="E8E8E8" w:themeFill="background2"/>
            <w:hideMark/>
          </w:tcPr>
          <w:p w14:paraId="20B1474F" w14:textId="77777777" w:rsidR="00226190" w:rsidRPr="00226190" w:rsidRDefault="00226190" w:rsidP="00226190">
            <w:pPr>
              <w:spacing w:after="160" w:line="278" w:lineRule="auto"/>
              <w:jc w:val="center"/>
              <w:rPr>
                <w:rFonts w:ascii="Garamond" w:hAnsi="Garamond" w:cs="Times New Roman"/>
                <w:b/>
                <w:bCs/>
                <w:sz w:val="24"/>
                <w:szCs w:val="24"/>
              </w:rPr>
            </w:pPr>
            <w:r w:rsidRPr="00226190">
              <w:rPr>
                <w:rFonts w:ascii="Garamond" w:hAnsi="Garamond" w:cs="Times New Roman"/>
                <w:b/>
                <w:bCs/>
                <w:sz w:val="24"/>
                <w:szCs w:val="24"/>
              </w:rPr>
              <w:t>Training and Pilot Phase</w:t>
            </w:r>
          </w:p>
        </w:tc>
      </w:tr>
      <w:tr w:rsidR="00226190" w:rsidRPr="00226190" w14:paraId="4872DC83" w14:textId="77777777">
        <w:tc>
          <w:tcPr>
            <w:tcW w:w="1872" w:type="dxa"/>
            <w:tcBorders>
              <w:top w:val="single" w:sz="4" w:space="0" w:color="auto"/>
              <w:left w:val="single" w:sz="4" w:space="0" w:color="auto"/>
              <w:bottom w:val="single" w:sz="4" w:space="0" w:color="auto"/>
              <w:right w:val="single" w:sz="4" w:space="0" w:color="auto"/>
            </w:tcBorders>
            <w:hideMark/>
          </w:tcPr>
          <w:p w14:paraId="2234360D"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Staff Training and Pilot Testing at One Clinic</w:t>
            </w:r>
          </w:p>
        </w:tc>
        <w:tc>
          <w:tcPr>
            <w:tcW w:w="1381" w:type="dxa"/>
            <w:tcBorders>
              <w:top w:val="single" w:sz="4" w:space="0" w:color="auto"/>
              <w:left w:val="single" w:sz="4" w:space="0" w:color="auto"/>
              <w:bottom w:val="single" w:sz="4" w:space="0" w:color="auto"/>
              <w:right w:val="single" w:sz="4" w:space="0" w:color="auto"/>
            </w:tcBorders>
            <w:hideMark/>
          </w:tcPr>
          <w:p w14:paraId="480A4459"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January-February 2026</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226190" w:rsidRPr="00226190" w14:paraId="37D793B3" w14:textId="77777777">
              <w:trPr>
                <w:tblCellSpacing w:w="15" w:type="dxa"/>
              </w:trPr>
              <w:tc>
                <w:tcPr>
                  <w:tcW w:w="0" w:type="auto"/>
                  <w:tcMar>
                    <w:top w:w="15" w:type="dxa"/>
                    <w:left w:w="15" w:type="dxa"/>
                    <w:bottom w:w="15" w:type="dxa"/>
                    <w:right w:w="15" w:type="dxa"/>
                  </w:tcMar>
                  <w:vAlign w:val="center"/>
                  <w:hideMark/>
                </w:tcPr>
                <w:p w14:paraId="4CECE9F1" w14:textId="77777777" w:rsidR="00226190" w:rsidRPr="00226190" w:rsidRDefault="00226190" w:rsidP="00226190">
                  <w:pPr>
                    <w:jc w:val="center"/>
                    <w:rPr>
                      <w:rFonts w:ascii="Garamond" w:hAnsi="Garamond" w:cs="Times New Roman"/>
                    </w:rPr>
                  </w:pPr>
                  <w:r w:rsidRPr="00226190">
                    <w:rPr>
                      <w:rFonts w:ascii="Garamond" w:hAnsi="Garamond" w:cs="Times New Roman"/>
                    </w:rPr>
                    <w:t>Conduct BST-based training, pilot test new template and checklist, and refine tools.</w:t>
                  </w:r>
                </w:p>
              </w:tc>
            </w:tr>
          </w:tbl>
          <w:p w14:paraId="644A0900" w14:textId="77777777" w:rsidR="00226190" w:rsidRPr="00226190" w:rsidRDefault="00226190" w:rsidP="00226190">
            <w:pPr>
              <w:spacing w:after="160" w:line="278" w:lineRule="auto"/>
              <w:jc w:val="center"/>
              <w:rPr>
                <w:rFonts w:ascii="Garamond" w:hAnsi="Garamond" w:cs="Times New Roman"/>
                <w:vanish/>
                <w:sz w:val="24"/>
                <w:szCs w:val="24"/>
              </w:rPr>
            </w:pPr>
          </w:p>
          <w:tbl>
            <w:tblPr>
              <w:tblW w:w="0" w:type="auto"/>
              <w:tblCellSpacing w:w="15" w:type="dxa"/>
              <w:tblLook w:val="04A0" w:firstRow="1" w:lastRow="0" w:firstColumn="1" w:lastColumn="0" w:noHBand="0" w:noVBand="1"/>
            </w:tblPr>
            <w:tblGrid>
              <w:gridCol w:w="96"/>
            </w:tblGrid>
            <w:tr w:rsidR="00226190" w:rsidRPr="00226190" w14:paraId="77691208" w14:textId="77777777">
              <w:trPr>
                <w:tblCellSpacing w:w="15" w:type="dxa"/>
                <w:hidden/>
              </w:trPr>
              <w:tc>
                <w:tcPr>
                  <w:tcW w:w="0" w:type="auto"/>
                  <w:tcMar>
                    <w:top w:w="15" w:type="dxa"/>
                    <w:left w:w="15" w:type="dxa"/>
                    <w:bottom w:w="15" w:type="dxa"/>
                    <w:right w:w="15" w:type="dxa"/>
                  </w:tcMar>
                  <w:vAlign w:val="center"/>
                  <w:hideMark/>
                </w:tcPr>
                <w:p w14:paraId="07483014" w14:textId="77777777" w:rsidR="00226190" w:rsidRPr="00226190" w:rsidRDefault="00226190" w:rsidP="00226190">
                  <w:pPr>
                    <w:jc w:val="center"/>
                    <w:rPr>
                      <w:rFonts w:ascii="Garamond" w:hAnsi="Garamond" w:cs="Times New Roman"/>
                      <w:vanish/>
                    </w:rPr>
                  </w:pPr>
                </w:p>
              </w:tc>
            </w:tr>
          </w:tbl>
          <w:p w14:paraId="14E5A18A"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190EEC6C" w14:textId="77777777">
        <w:tc>
          <w:tcPr>
            <w:tcW w:w="9805" w:type="dxa"/>
            <w:gridSpan w:val="3"/>
            <w:tcBorders>
              <w:top w:val="single" w:sz="4" w:space="0" w:color="auto"/>
              <w:left w:val="single" w:sz="4" w:space="0" w:color="auto"/>
              <w:bottom w:val="single" w:sz="4" w:space="0" w:color="auto"/>
              <w:right w:val="single" w:sz="4" w:space="0" w:color="auto"/>
            </w:tcBorders>
            <w:shd w:val="clear" w:color="auto" w:fill="E8E8E8" w:themeFill="background2"/>
            <w:hideMark/>
          </w:tcPr>
          <w:p w14:paraId="79825BF6" w14:textId="77777777" w:rsidR="00226190" w:rsidRPr="00226190" w:rsidRDefault="00226190" w:rsidP="00226190">
            <w:pPr>
              <w:spacing w:after="160" w:line="278" w:lineRule="auto"/>
              <w:jc w:val="center"/>
              <w:rPr>
                <w:rFonts w:ascii="Garamond" w:hAnsi="Garamond" w:cs="Times New Roman"/>
                <w:b/>
                <w:bCs/>
                <w:sz w:val="24"/>
                <w:szCs w:val="24"/>
              </w:rPr>
            </w:pPr>
            <w:r w:rsidRPr="00226190">
              <w:rPr>
                <w:rFonts w:ascii="Garamond" w:hAnsi="Garamond" w:cs="Times New Roman"/>
                <w:b/>
                <w:bCs/>
                <w:sz w:val="24"/>
                <w:szCs w:val="24"/>
              </w:rPr>
              <w:t>Rollout Phase</w:t>
            </w:r>
          </w:p>
        </w:tc>
      </w:tr>
      <w:tr w:rsidR="00226190" w:rsidRPr="00226190" w14:paraId="3149D4D0" w14:textId="77777777">
        <w:tc>
          <w:tcPr>
            <w:tcW w:w="1872" w:type="dxa"/>
            <w:tcBorders>
              <w:top w:val="single" w:sz="4" w:space="0" w:color="auto"/>
              <w:left w:val="single" w:sz="4" w:space="0" w:color="auto"/>
              <w:bottom w:val="single" w:sz="4" w:space="0" w:color="auto"/>
              <w:right w:val="single" w:sz="4" w:space="0" w:color="auto"/>
            </w:tcBorders>
            <w:hideMark/>
          </w:tcPr>
          <w:p w14:paraId="6C90AF0B"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Full System-Wide Implementation</w:t>
            </w:r>
          </w:p>
        </w:tc>
        <w:tc>
          <w:tcPr>
            <w:tcW w:w="1381" w:type="dxa"/>
            <w:tcBorders>
              <w:top w:val="single" w:sz="4" w:space="0" w:color="auto"/>
              <w:left w:val="single" w:sz="4" w:space="0" w:color="auto"/>
              <w:bottom w:val="single" w:sz="4" w:space="0" w:color="auto"/>
              <w:right w:val="single" w:sz="4" w:space="0" w:color="auto"/>
            </w:tcBorders>
            <w:hideMark/>
          </w:tcPr>
          <w:p w14:paraId="0598219A"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March 2026</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226190" w:rsidRPr="00226190" w14:paraId="17FCD15C" w14:textId="77777777">
              <w:trPr>
                <w:tblCellSpacing w:w="15" w:type="dxa"/>
              </w:trPr>
              <w:tc>
                <w:tcPr>
                  <w:tcW w:w="0" w:type="auto"/>
                  <w:tcMar>
                    <w:top w:w="15" w:type="dxa"/>
                    <w:left w:w="15" w:type="dxa"/>
                    <w:bottom w:w="15" w:type="dxa"/>
                    <w:right w:w="15" w:type="dxa"/>
                  </w:tcMar>
                  <w:vAlign w:val="center"/>
                  <w:hideMark/>
                </w:tcPr>
                <w:p w14:paraId="384DB3F0" w14:textId="77777777" w:rsidR="00226190" w:rsidRPr="00226190" w:rsidRDefault="00226190" w:rsidP="00226190">
                  <w:pPr>
                    <w:jc w:val="center"/>
                    <w:rPr>
                      <w:rFonts w:ascii="Garamond" w:hAnsi="Garamond" w:cs="Times New Roman"/>
                    </w:rPr>
                  </w:pPr>
                  <w:r w:rsidRPr="00226190">
                    <w:rPr>
                      <w:rFonts w:ascii="Garamond" w:hAnsi="Garamond" w:cs="Times New Roman"/>
                    </w:rPr>
                    <w:t>Launch checklist and EHR template across all sites. Assign super-users for ongoing support.</w:t>
                  </w:r>
                </w:p>
              </w:tc>
            </w:tr>
          </w:tbl>
          <w:p w14:paraId="58F881B9" w14:textId="77777777" w:rsidR="00226190" w:rsidRPr="00226190" w:rsidRDefault="00226190" w:rsidP="00226190">
            <w:pPr>
              <w:spacing w:after="160" w:line="278" w:lineRule="auto"/>
              <w:jc w:val="center"/>
              <w:rPr>
                <w:rFonts w:ascii="Garamond" w:hAnsi="Garamond" w:cs="Times New Roman"/>
                <w:vanish/>
                <w:sz w:val="24"/>
                <w:szCs w:val="24"/>
              </w:rPr>
            </w:pPr>
          </w:p>
          <w:tbl>
            <w:tblPr>
              <w:tblW w:w="0" w:type="auto"/>
              <w:tblCellSpacing w:w="15" w:type="dxa"/>
              <w:tblLook w:val="04A0" w:firstRow="1" w:lastRow="0" w:firstColumn="1" w:lastColumn="0" w:noHBand="0" w:noVBand="1"/>
            </w:tblPr>
            <w:tblGrid>
              <w:gridCol w:w="96"/>
            </w:tblGrid>
            <w:tr w:rsidR="00226190" w:rsidRPr="00226190" w14:paraId="132009B2" w14:textId="77777777">
              <w:trPr>
                <w:tblCellSpacing w:w="15" w:type="dxa"/>
                <w:hidden/>
              </w:trPr>
              <w:tc>
                <w:tcPr>
                  <w:tcW w:w="0" w:type="auto"/>
                  <w:tcMar>
                    <w:top w:w="15" w:type="dxa"/>
                    <w:left w:w="15" w:type="dxa"/>
                    <w:bottom w:w="15" w:type="dxa"/>
                    <w:right w:w="15" w:type="dxa"/>
                  </w:tcMar>
                  <w:vAlign w:val="center"/>
                  <w:hideMark/>
                </w:tcPr>
                <w:p w14:paraId="5095851A" w14:textId="77777777" w:rsidR="00226190" w:rsidRPr="00226190" w:rsidRDefault="00226190" w:rsidP="00226190">
                  <w:pPr>
                    <w:jc w:val="center"/>
                    <w:rPr>
                      <w:rFonts w:ascii="Garamond" w:hAnsi="Garamond" w:cs="Times New Roman"/>
                      <w:vanish/>
                    </w:rPr>
                  </w:pPr>
                </w:p>
              </w:tc>
            </w:tr>
          </w:tbl>
          <w:p w14:paraId="4F209D92"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766BC5CA" w14:textId="77777777">
        <w:tc>
          <w:tcPr>
            <w:tcW w:w="1872" w:type="dxa"/>
            <w:tcBorders>
              <w:top w:val="single" w:sz="4" w:space="0" w:color="auto"/>
              <w:left w:val="single" w:sz="4" w:space="0" w:color="auto"/>
              <w:bottom w:val="single" w:sz="4" w:space="0" w:color="auto"/>
              <w:right w:val="single" w:sz="4" w:space="0" w:color="auto"/>
            </w:tcBorders>
            <w:hideMark/>
          </w:tcPr>
          <w:p w14:paraId="7876032E"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Monthly Compliance Audits and Feedback</w:t>
            </w:r>
          </w:p>
        </w:tc>
        <w:tc>
          <w:tcPr>
            <w:tcW w:w="1381" w:type="dxa"/>
            <w:tcBorders>
              <w:top w:val="single" w:sz="4" w:space="0" w:color="auto"/>
              <w:left w:val="single" w:sz="4" w:space="0" w:color="auto"/>
              <w:bottom w:val="single" w:sz="4" w:space="0" w:color="auto"/>
              <w:right w:val="single" w:sz="4" w:space="0" w:color="auto"/>
            </w:tcBorders>
            <w:hideMark/>
          </w:tcPr>
          <w:p w14:paraId="6264F0D2"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April-June 2026</w:t>
            </w:r>
          </w:p>
        </w:tc>
        <w:tc>
          <w:tcPr>
            <w:tcW w:w="6552"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6336"/>
            </w:tblGrid>
            <w:tr w:rsidR="00226190" w:rsidRPr="00226190" w14:paraId="69FDC1A7" w14:textId="77777777">
              <w:trPr>
                <w:tblCellSpacing w:w="15" w:type="dxa"/>
              </w:trPr>
              <w:tc>
                <w:tcPr>
                  <w:tcW w:w="0" w:type="auto"/>
                  <w:tcMar>
                    <w:top w:w="15" w:type="dxa"/>
                    <w:left w:w="15" w:type="dxa"/>
                    <w:bottom w:w="15" w:type="dxa"/>
                    <w:right w:w="15" w:type="dxa"/>
                  </w:tcMar>
                  <w:vAlign w:val="center"/>
                  <w:hideMark/>
                </w:tcPr>
                <w:p w14:paraId="5577A4E5" w14:textId="77777777" w:rsidR="00226190" w:rsidRPr="00226190" w:rsidRDefault="00226190" w:rsidP="00226190">
                  <w:pPr>
                    <w:jc w:val="center"/>
                    <w:rPr>
                      <w:rFonts w:ascii="Garamond" w:hAnsi="Garamond" w:cs="Times New Roman"/>
                    </w:rPr>
                  </w:pPr>
                  <w:r w:rsidRPr="00226190">
                    <w:rPr>
                      <w:rFonts w:ascii="Garamond" w:hAnsi="Garamond" w:cs="Times New Roman"/>
                    </w:rPr>
                    <w:t>Conduct monthly DCAT audits, provide feedback, and monitor compliance trends.</w:t>
                  </w:r>
                </w:p>
              </w:tc>
            </w:tr>
            <w:tr w:rsidR="00226190" w:rsidRPr="00226190" w14:paraId="26B0EC55" w14:textId="77777777">
              <w:trPr>
                <w:tblCellSpacing w:w="15" w:type="dxa"/>
              </w:trPr>
              <w:tc>
                <w:tcPr>
                  <w:tcW w:w="0" w:type="auto"/>
                  <w:tcMar>
                    <w:top w:w="15" w:type="dxa"/>
                    <w:left w:w="15" w:type="dxa"/>
                    <w:bottom w:w="15" w:type="dxa"/>
                    <w:right w:w="15" w:type="dxa"/>
                  </w:tcMar>
                  <w:vAlign w:val="center"/>
                </w:tcPr>
                <w:p w14:paraId="46FB030D" w14:textId="77777777" w:rsidR="00226190" w:rsidRPr="00226190" w:rsidRDefault="00226190" w:rsidP="00226190">
                  <w:pPr>
                    <w:jc w:val="center"/>
                    <w:rPr>
                      <w:rFonts w:ascii="Garamond" w:hAnsi="Garamond" w:cs="Times New Roman"/>
                    </w:rPr>
                  </w:pPr>
                </w:p>
              </w:tc>
            </w:tr>
            <w:tr w:rsidR="00226190" w:rsidRPr="00226190" w14:paraId="4D56EE25" w14:textId="77777777">
              <w:trPr>
                <w:tblCellSpacing w:w="15" w:type="dxa"/>
              </w:trPr>
              <w:tc>
                <w:tcPr>
                  <w:tcW w:w="0" w:type="auto"/>
                  <w:tcMar>
                    <w:top w:w="15" w:type="dxa"/>
                    <w:left w:w="15" w:type="dxa"/>
                    <w:bottom w:w="15" w:type="dxa"/>
                    <w:right w:w="15" w:type="dxa"/>
                  </w:tcMar>
                  <w:vAlign w:val="center"/>
                </w:tcPr>
                <w:p w14:paraId="6C672DDA" w14:textId="77777777" w:rsidR="00226190" w:rsidRPr="00226190" w:rsidRDefault="00226190" w:rsidP="00226190">
                  <w:pPr>
                    <w:jc w:val="center"/>
                    <w:rPr>
                      <w:rFonts w:ascii="Garamond" w:hAnsi="Garamond" w:cs="Times New Roman"/>
                    </w:rPr>
                  </w:pPr>
                </w:p>
              </w:tc>
            </w:tr>
            <w:tr w:rsidR="00226190" w:rsidRPr="00226190" w14:paraId="23D5352D" w14:textId="77777777">
              <w:trPr>
                <w:tblCellSpacing w:w="15" w:type="dxa"/>
              </w:trPr>
              <w:tc>
                <w:tcPr>
                  <w:tcW w:w="0" w:type="auto"/>
                  <w:tcMar>
                    <w:top w:w="15" w:type="dxa"/>
                    <w:left w:w="15" w:type="dxa"/>
                    <w:bottom w:w="15" w:type="dxa"/>
                    <w:right w:w="15" w:type="dxa"/>
                  </w:tcMar>
                  <w:vAlign w:val="center"/>
                </w:tcPr>
                <w:p w14:paraId="1AFAD54A" w14:textId="77777777" w:rsidR="00226190" w:rsidRPr="00226190" w:rsidRDefault="00226190" w:rsidP="00226190">
                  <w:pPr>
                    <w:jc w:val="center"/>
                    <w:rPr>
                      <w:rFonts w:ascii="Garamond" w:hAnsi="Garamond" w:cs="Times New Roman"/>
                    </w:rPr>
                  </w:pPr>
                </w:p>
              </w:tc>
            </w:tr>
          </w:tbl>
          <w:p w14:paraId="4565C927" w14:textId="77777777" w:rsidR="00226190" w:rsidRPr="00226190" w:rsidRDefault="00226190" w:rsidP="00226190">
            <w:pPr>
              <w:spacing w:after="160" w:line="278" w:lineRule="auto"/>
              <w:jc w:val="center"/>
              <w:rPr>
                <w:rFonts w:ascii="Garamond" w:hAnsi="Garamond" w:cs="Times New Roman"/>
                <w:vanish/>
                <w:sz w:val="24"/>
                <w:szCs w:val="24"/>
              </w:rPr>
            </w:pPr>
          </w:p>
          <w:tbl>
            <w:tblPr>
              <w:tblW w:w="0" w:type="auto"/>
              <w:tblCellSpacing w:w="15" w:type="dxa"/>
              <w:tblLook w:val="04A0" w:firstRow="1" w:lastRow="0" w:firstColumn="1" w:lastColumn="0" w:noHBand="0" w:noVBand="1"/>
            </w:tblPr>
            <w:tblGrid>
              <w:gridCol w:w="96"/>
            </w:tblGrid>
            <w:tr w:rsidR="00226190" w:rsidRPr="00226190" w14:paraId="5017FEF5" w14:textId="77777777">
              <w:trPr>
                <w:tblCellSpacing w:w="15" w:type="dxa"/>
                <w:hidden/>
              </w:trPr>
              <w:tc>
                <w:tcPr>
                  <w:tcW w:w="0" w:type="auto"/>
                  <w:tcMar>
                    <w:top w:w="15" w:type="dxa"/>
                    <w:left w:w="15" w:type="dxa"/>
                    <w:bottom w:w="15" w:type="dxa"/>
                    <w:right w:w="15" w:type="dxa"/>
                  </w:tcMar>
                  <w:vAlign w:val="center"/>
                  <w:hideMark/>
                </w:tcPr>
                <w:p w14:paraId="6CE2B3C8" w14:textId="77777777" w:rsidR="00226190" w:rsidRPr="00226190" w:rsidRDefault="00226190" w:rsidP="00226190">
                  <w:pPr>
                    <w:jc w:val="center"/>
                    <w:rPr>
                      <w:rFonts w:ascii="Garamond" w:hAnsi="Garamond" w:cs="Times New Roman"/>
                      <w:vanish/>
                    </w:rPr>
                  </w:pPr>
                </w:p>
              </w:tc>
            </w:tr>
          </w:tbl>
          <w:p w14:paraId="439CEE38" w14:textId="77777777" w:rsidR="00226190" w:rsidRPr="00226190" w:rsidRDefault="00226190" w:rsidP="00226190">
            <w:pPr>
              <w:spacing w:after="160" w:line="278" w:lineRule="auto"/>
              <w:jc w:val="center"/>
              <w:rPr>
                <w:rFonts w:ascii="Garamond" w:hAnsi="Garamond" w:cs="Times New Roman"/>
                <w:sz w:val="24"/>
                <w:szCs w:val="24"/>
              </w:rPr>
            </w:pPr>
          </w:p>
        </w:tc>
      </w:tr>
      <w:tr w:rsidR="00226190" w:rsidRPr="00226190" w14:paraId="691FED28" w14:textId="77777777">
        <w:tc>
          <w:tcPr>
            <w:tcW w:w="9805" w:type="dxa"/>
            <w:gridSpan w:val="3"/>
            <w:tcBorders>
              <w:top w:val="single" w:sz="4" w:space="0" w:color="auto"/>
              <w:left w:val="single" w:sz="4" w:space="0" w:color="auto"/>
              <w:bottom w:val="single" w:sz="4" w:space="0" w:color="auto"/>
              <w:right w:val="single" w:sz="4" w:space="0" w:color="auto"/>
            </w:tcBorders>
            <w:shd w:val="clear" w:color="auto" w:fill="E8E8E8" w:themeFill="background2"/>
            <w:hideMark/>
          </w:tcPr>
          <w:p w14:paraId="1F8FC25B" w14:textId="77777777" w:rsidR="00226190" w:rsidRPr="00226190" w:rsidRDefault="00226190" w:rsidP="00226190">
            <w:pPr>
              <w:spacing w:after="160" w:line="278" w:lineRule="auto"/>
              <w:jc w:val="center"/>
              <w:rPr>
                <w:rFonts w:ascii="Garamond" w:hAnsi="Garamond" w:cs="Times New Roman"/>
                <w:b/>
                <w:bCs/>
                <w:sz w:val="24"/>
                <w:szCs w:val="24"/>
              </w:rPr>
            </w:pPr>
            <w:r w:rsidRPr="00226190">
              <w:rPr>
                <w:rFonts w:ascii="Garamond" w:hAnsi="Garamond" w:cs="Times New Roman"/>
                <w:b/>
                <w:bCs/>
                <w:sz w:val="24"/>
                <w:szCs w:val="24"/>
              </w:rPr>
              <w:t>Evaluation and Sustainment</w:t>
            </w:r>
          </w:p>
        </w:tc>
      </w:tr>
      <w:tr w:rsidR="00226190" w:rsidRPr="00226190" w14:paraId="1BAA762D" w14:textId="77777777">
        <w:tc>
          <w:tcPr>
            <w:tcW w:w="1872" w:type="dxa"/>
            <w:tcBorders>
              <w:top w:val="single" w:sz="4" w:space="0" w:color="auto"/>
              <w:left w:val="single" w:sz="4" w:space="0" w:color="auto"/>
              <w:bottom w:val="single" w:sz="4" w:space="0" w:color="auto"/>
              <w:right w:val="single" w:sz="4" w:space="0" w:color="auto"/>
            </w:tcBorders>
            <w:hideMark/>
          </w:tcPr>
          <w:p w14:paraId="08D9F80B"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Final Analysis and Reporting</w:t>
            </w:r>
          </w:p>
        </w:tc>
        <w:tc>
          <w:tcPr>
            <w:tcW w:w="1381" w:type="dxa"/>
            <w:tcBorders>
              <w:top w:val="single" w:sz="4" w:space="0" w:color="auto"/>
              <w:left w:val="single" w:sz="4" w:space="0" w:color="auto"/>
              <w:bottom w:val="single" w:sz="4" w:space="0" w:color="auto"/>
              <w:right w:val="single" w:sz="4" w:space="0" w:color="auto"/>
            </w:tcBorders>
            <w:hideMark/>
          </w:tcPr>
          <w:p w14:paraId="2D0D6FAD"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July 2026</w:t>
            </w:r>
          </w:p>
        </w:tc>
        <w:tc>
          <w:tcPr>
            <w:tcW w:w="6552" w:type="dxa"/>
            <w:tcBorders>
              <w:top w:val="single" w:sz="4" w:space="0" w:color="auto"/>
              <w:left w:val="single" w:sz="4" w:space="0" w:color="auto"/>
              <w:bottom w:val="single" w:sz="4" w:space="0" w:color="auto"/>
              <w:right w:val="single" w:sz="4" w:space="0" w:color="auto"/>
            </w:tcBorders>
          </w:tcPr>
          <w:p w14:paraId="778203BB" w14:textId="77777777" w:rsidR="00226190" w:rsidRPr="00226190" w:rsidRDefault="00226190" w:rsidP="00226190">
            <w:pPr>
              <w:spacing w:after="160" w:line="278" w:lineRule="auto"/>
              <w:jc w:val="center"/>
              <w:rPr>
                <w:rFonts w:ascii="Garamond" w:hAnsi="Garamond" w:cs="Times New Roman"/>
                <w:sz w:val="24"/>
                <w:szCs w:val="24"/>
              </w:rPr>
            </w:pPr>
            <w:r w:rsidRPr="00226190">
              <w:rPr>
                <w:rFonts w:ascii="Garamond" w:hAnsi="Garamond" w:cs="Times New Roman"/>
                <w:sz w:val="24"/>
                <w:szCs w:val="24"/>
              </w:rPr>
              <w:t>Evaluate final compliance outcomes, summarize findings, and develop sustainability plan.</w:t>
            </w:r>
          </w:p>
          <w:p w14:paraId="51D60C80" w14:textId="77777777" w:rsidR="00226190" w:rsidRPr="00226190" w:rsidRDefault="00226190" w:rsidP="00226190">
            <w:pPr>
              <w:spacing w:after="160" w:line="278" w:lineRule="auto"/>
              <w:jc w:val="center"/>
              <w:rPr>
                <w:rFonts w:ascii="Garamond" w:hAnsi="Garamond" w:cs="Times New Roman"/>
                <w:sz w:val="24"/>
                <w:szCs w:val="24"/>
              </w:rPr>
            </w:pPr>
          </w:p>
        </w:tc>
      </w:tr>
    </w:tbl>
    <w:p w14:paraId="7584507F" w14:textId="77777777" w:rsidR="00226190" w:rsidRPr="00226190" w:rsidRDefault="00226190" w:rsidP="00226190">
      <w:pPr>
        <w:jc w:val="center"/>
        <w:rPr>
          <w:rFonts w:ascii="Times New Roman" w:hAnsi="Times New Roman" w:cs="Times New Roman"/>
        </w:rPr>
      </w:pPr>
    </w:p>
    <w:p w14:paraId="70110228"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br w:type="page"/>
      </w:r>
    </w:p>
    <w:tbl>
      <w:tblPr>
        <w:tblStyle w:val="TableGrid"/>
        <w:tblW w:w="10525" w:type="dxa"/>
        <w:tblLook w:val="04A0" w:firstRow="1" w:lastRow="0" w:firstColumn="1" w:lastColumn="0" w:noHBand="0" w:noVBand="1"/>
      </w:tblPr>
      <w:tblGrid>
        <w:gridCol w:w="2519"/>
        <w:gridCol w:w="2066"/>
        <w:gridCol w:w="1481"/>
        <w:gridCol w:w="4459"/>
      </w:tblGrid>
      <w:tr w:rsidR="00226190" w:rsidRPr="00226190" w14:paraId="20E12CD1" w14:textId="77777777">
        <w:tc>
          <w:tcPr>
            <w:tcW w:w="251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578CB9A2" w14:textId="77777777" w:rsidR="00226190" w:rsidRPr="00226190" w:rsidRDefault="00226190" w:rsidP="00226190">
            <w:pPr>
              <w:spacing w:after="160" w:line="278" w:lineRule="auto"/>
              <w:jc w:val="center"/>
              <w:rPr>
                <w:rFonts w:ascii="Times New Roman" w:hAnsi="Times New Roman" w:cs="Times New Roman"/>
                <w:b/>
                <w:bCs/>
              </w:rPr>
            </w:pPr>
            <w:r w:rsidRPr="00226190">
              <w:rPr>
                <w:rFonts w:ascii="Times New Roman" w:hAnsi="Times New Roman" w:cs="Times New Roman"/>
                <w:b/>
                <w:bCs/>
              </w:rPr>
              <w:lastRenderedPageBreak/>
              <w:t>Phase</w:t>
            </w:r>
          </w:p>
        </w:tc>
        <w:tc>
          <w:tcPr>
            <w:tcW w:w="2066"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4CBA547E" w14:textId="77777777" w:rsidR="00226190" w:rsidRPr="00226190" w:rsidRDefault="00226190" w:rsidP="00226190">
            <w:pPr>
              <w:spacing w:after="160" w:line="278" w:lineRule="auto"/>
              <w:jc w:val="center"/>
              <w:rPr>
                <w:rFonts w:ascii="Times New Roman" w:hAnsi="Times New Roman" w:cs="Times New Roman"/>
                <w:b/>
                <w:bCs/>
              </w:rPr>
            </w:pPr>
            <w:r w:rsidRPr="00226190">
              <w:rPr>
                <w:rFonts w:ascii="Times New Roman" w:hAnsi="Times New Roman" w:cs="Times New Roman"/>
                <w:b/>
                <w:bCs/>
              </w:rPr>
              <w:t xml:space="preserve">Task Description </w:t>
            </w:r>
          </w:p>
        </w:tc>
        <w:tc>
          <w:tcPr>
            <w:tcW w:w="1481"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3483B0B" w14:textId="77777777" w:rsidR="00226190" w:rsidRPr="00226190" w:rsidRDefault="00226190" w:rsidP="00226190">
            <w:pPr>
              <w:spacing w:after="160" w:line="278" w:lineRule="auto"/>
              <w:jc w:val="center"/>
              <w:rPr>
                <w:rFonts w:ascii="Times New Roman" w:hAnsi="Times New Roman" w:cs="Times New Roman"/>
                <w:b/>
                <w:bCs/>
              </w:rPr>
            </w:pPr>
            <w:r w:rsidRPr="00226190">
              <w:rPr>
                <w:rFonts w:ascii="Times New Roman" w:hAnsi="Times New Roman" w:cs="Times New Roman"/>
                <w:b/>
                <w:bCs/>
              </w:rPr>
              <w:t>Anticipated Date</w:t>
            </w:r>
          </w:p>
        </w:tc>
        <w:tc>
          <w:tcPr>
            <w:tcW w:w="445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50DE399" w14:textId="77777777" w:rsidR="00226190" w:rsidRPr="00226190" w:rsidRDefault="00226190" w:rsidP="00226190">
            <w:pPr>
              <w:spacing w:after="160" w:line="278" w:lineRule="auto"/>
              <w:jc w:val="center"/>
              <w:rPr>
                <w:rFonts w:ascii="Times New Roman" w:hAnsi="Times New Roman" w:cs="Times New Roman"/>
                <w:b/>
                <w:bCs/>
              </w:rPr>
            </w:pPr>
            <w:r w:rsidRPr="00226190">
              <w:rPr>
                <w:rFonts w:ascii="Times New Roman" w:hAnsi="Times New Roman" w:cs="Times New Roman"/>
                <w:b/>
                <w:bCs/>
              </w:rPr>
              <w:t>Milestones/Notes</w:t>
            </w:r>
          </w:p>
        </w:tc>
      </w:tr>
      <w:tr w:rsidR="00226190" w:rsidRPr="00226190" w14:paraId="76E83891" w14:textId="77777777">
        <w:tc>
          <w:tcPr>
            <w:tcW w:w="2519" w:type="dxa"/>
            <w:tcBorders>
              <w:top w:val="single" w:sz="4" w:space="0" w:color="auto"/>
              <w:left w:val="single" w:sz="4" w:space="0" w:color="auto"/>
              <w:bottom w:val="single" w:sz="4" w:space="0" w:color="auto"/>
              <w:right w:val="single" w:sz="4" w:space="0" w:color="auto"/>
            </w:tcBorders>
          </w:tcPr>
          <w:p w14:paraId="7981054B" w14:textId="77777777" w:rsidR="00226190" w:rsidRPr="00226190" w:rsidRDefault="00226190" w:rsidP="00226190">
            <w:pPr>
              <w:spacing w:after="160" w:line="278" w:lineRule="auto"/>
              <w:jc w:val="center"/>
              <w:rPr>
                <w:rFonts w:ascii="Times New Roman" w:hAnsi="Times New Roman" w:cs="Times New Roman"/>
              </w:rPr>
            </w:pPr>
            <w:r w:rsidRPr="00226190">
              <w:rPr>
                <w:rFonts w:ascii="Times New Roman" w:hAnsi="Times New Roman" w:cs="Times New Roman"/>
              </w:rPr>
              <w:t>Pre-Data Collection</w:t>
            </w:r>
          </w:p>
          <w:p w14:paraId="65B5175D" w14:textId="77777777" w:rsidR="00226190" w:rsidRPr="00226190" w:rsidRDefault="00226190" w:rsidP="00226190">
            <w:pPr>
              <w:spacing w:after="160" w:line="278" w:lineRule="auto"/>
              <w:jc w:val="center"/>
              <w:rPr>
                <w:rFonts w:ascii="Times New Roman" w:hAnsi="Times New Roman" w:cs="Times New Roman"/>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226190" w:rsidRPr="00226190" w14:paraId="2635C4E6" w14:textId="77777777">
              <w:trPr>
                <w:tblCellSpacing w:w="15" w:type="dxa"/>
              </w:trPr>
              <w:tc>
                <w:tcPr>
                  <w:tcW w:w="0" w:type="auto"/>
                  <w:tcMar>
                    <w:top w:w="15" w:type="dxa"/>
                    <w:left w:w="15" w:type="dxa"/>
                    <w:bottom w:w="15" w:type="dxa"/>
                    <w:right w:w="15" w:type="dxa"/>
                  </w:tcMar>
                  <w:vAlign w:val="center"/>
                  <w:hideMark/>
                </w:tcPr>
                <w:p w14:paraId="6F4E3435"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Conduct baseline audit of 90 days of Medicaid-billed ABA session notes to identify common documentation errors and calculate baseline compliance rate.</w:t>
                  </w:r>
                </w:p>
              </w:tc>
            </w:tr>
          </w:tbl>
          <w:p w14:paraId="77CF77E7"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13186602" w14:textId="77777777">
              <w:trPr>
                <w:tblCellSpacing w:w="15" w:type="dxa"/>
                <w:hidden/>
              </w:trPr>
              <w:tc>
                <w:tcPr>
                  <w:tcW w:w="0" w:type="auto"/>
                  <w:tcMar>
                    <w:top w:w="15" w:type="dxa"/>
                    <w:left w:w="15" w:type="dxa"/>
                    <w:bottom w:w="15" w:type="dxa"/>
                    <w:right w:w="15" w:type="dxa"/>
                  </w:tcMar>
                  <w:vAlign w:val="center"/>
                  <w:hideMark/>
                </w:tcPr>
                <w:p w14:paraId="6D37DCA4" w14:textId="77777777" w:rsidR="00226190" w:rsidRPr="00226190" w:rsidRDefault="00226190" w:rsidP="00226190">
                  <w:pPr>
                    <w:jc w:val="center"/>
                    <w:rPr>
                      <w:rFonts w:ascii="Times New Roman" w:hAnsi="Times New Roman" w:cs="Times New Roman"/>
                      <w:vanish/>
                    </w:rPr>
                  </w:pPr>
                </w:p>
              </w:tc>
            </w:tr>
          </w:tbl>
          <w:p w14:paraId="2A0E19E5" w14:textId="77777777" w:rsidR="00226190" w:rsidRPr="00226190" w:rsidRDefault="00226190" w:rsidP="00226190">
            <w:pPr>
              <w:spacing w:after="160" w:line="278" w:lineRule="auto"/>
              <w:jc w:val="center"/>
              <w:rPr>
                <w:rFonts w:ascii="Times New Roman" w:hAnsi="Times New Roman" w:cs="Times New Roman"/>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265"/>
            </w:tblGrid>
            <w:tr w:rsidR="00226190" w:rsidRPr="00226190" w14:paraId="0B0E9EA6" w14:textId="77777777">
              <w:trPr>
                <w:tblCellSpacing w:w="15" w:type="dxa"/>
              </w:trPr>
              <w:tc>
                <w:tcPr>
                  <w:tcW w:w="0" w:type="auto"/>
                  <w:tcMar>
                    <w:top w:w="15" w:type="dxa"/>
                    <w:left w:w="15" w:type="dxa"/>
                    <w:bottom w:w="15" w:type="dxa"/>
                    <w:right w:w="15" w:type="dxa"/>
                  </w:tcMar>
                  <w:vAlign w:val="center"/>
                  <w:hideMark/>
                </w:tcPr>
                <w:p w14:paraId="7A041E62"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December 2025 – January 2026</w:t>
                  </w:r>
                </w:p>
              </w:tc>
            </w:tr>
          </w:tbl>
          <w:p w14:paraId="4AE90252"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06BC7A72" w14:textId="77777777">
              <w:trPr>
                <w:tblCellSpacing w:w="15" w:type="dxa"/>
                <w:hidden/>
              </w:trPr>
              <w:tc>
                <w:tcPr>
                  <w:tcW w:w="0" w:type="auto"/>
                  <w:tcMar>
                    <w:top w:w="15" w:type="dxa"/>
                    <w:left w:w="15" w:type="dxa"/>
                    <w:bottom w:w="15" w:type="dxa"/>
                    <w:right w:w="15" w:type="dxa"/>
                  </w:tcMar>
                  <w:vAlign w:val="center"/>
                  <w:hideMark/>
                </w:tcPr>
                <w:p w14:paraId="680AF095" w14:textId="77777777" w:rsidR="00226190" w:rsidRPr="00226190" w:rsidRDefault="00226190" w:rsidP="00226190">
                  <w:pPr>
                    <w:jc w:val="center"/>
                    <w:rPr>
                      <w:rFonts w:ascii="Times New Roman" w:hAnsi="Times New Roman" w:cs="Times New Roman"/>
                      <w:vanish/>
                    </w:rPr>
                  </w:pPr>
                </w:p>
              </w:tc>
            </w:tr>
          </w:tbl>
          <w:p w14:paraId="07B213A0" w14:textId="77777777" w:rsidR="00226190" w:rsidRPr="00226190" w:rsidRDefault="00226190" w:rsidP="00226190">
            <w:pPr>
              <w:spacing w:after="160" w:line="278" w:lineRule="auto"/>
              <w:jc w:val="center"/>
              <w:rPr>
                <w:rFonts w:ascii="Times New Roman" w:hAnsi="Times New Roman" w:cs="Times New Roman"/>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226190" w:rsidRPr="00226190" w14:paraId="19F3DE7F" w14:textId="77777777">
              <w:trPr>
                <w:tblCellSpacing w:w="15" w:type="dxa"/>
              </w:trPr>
              <w:tc>
                <w:tcPr>
                  <w:tcW w:w="0" w:type="auto"/>
                  <w:tcMar>
                    <w:top w:w="15" w:type="dxa"/>
                    <w:left w:w="15" w:type="dxa"/>
                    <w:bottom w:w="15" w:type="dxa"/>
                    <w:right w:w="15" w:type="dxa"/>
                  </w:tcMar>
                  <w:vAlign w:val="center"/>
                  <w:hideMark/>
                </w:tcPr>
                <w:p w14:paraId="55A79B0B"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Establish baseline compliance benchmark and claim-denial percentage. Identify high-risk documentation patterns (e.g., missing CPT codes, incomplete time entries, absent progress summaries).</w:t>
                  </w:r>
                </w:p>
              </w:tc>
            </w:tr>
          </w:tbl>
          <w:p w14:paraId="3BAB7E63"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0536F029" w14:textId="77777777">
              <w:trPr>
                <w:tblCellSpacing w:w="15" w:type="dxa"/>
                <w:hidden/>
              </w:trPr>
              <w:tc>
                <w:tcPr>
                  <w:tcW w:w="0" w:type="auto"/>
                  <w:tcMar>
                    <w:top w:w="15" w:type="dxa"/>
                    <w:left w:w="15" w:type="dxa"/>
                    <w:bottom w:w="15" w:type="dxa"/>
                    <w:right w:w="15" w:type="dxa"/>
                  </w:tcMar>
                  <w:vAlign w:val="center"/>
                  <w:hideMark/>
                </w:tcPr>
                <w:p w14:paraId="3D1C640C" w14:textId="77777777" w:rsidR="00226190" w:rsidRPr="00226190" w:rsidRDefault="00226190" w:rsidP="00226190">
                  <w:pPr>
                    <w:jc w:val="center"/>
                    <w:rPr>
                      <w:rFonts w:ascii="Times New Roman" w:hAnsi="Times New Roman" w:cs="Times New Roman"/>
                      <w:vanish/>
                    </w:rPr>
                  </w:pPr>
                </w:p>
              </w:tc>
            </w:tr>
          </w:tbl>
          <w:p w14:paraId="27A81988" w14:textId="77777777" w:rsidR="00226190" w:rsidRPr="00226190" w:rsidRDefault="00226190" w:rsidP="00226190">
            <w:pPr>
              <w:spacing w:after="160" w:line="278" w:lineRule="auto"/>
              <w:jc w:val="center"/>
              <w:rPr>
                <w:rFonts w:ascii="Times New Roman" w:hAnsi="Times New Roman" w:cs="Times New Roman"/>
              </w:rPr>
            </w:pPr>
          </w:p>
        </w:tc>
      </w:tr>
      <w:tr w:rsidR="00226190" w:rsidRPr="00226190" w14:paraId="0F9618D3" w14:textId="77777777">
        <w:tc>
          <w:tcPr>
            <w:tcW w:w="2519" w:type="dxa"/>
            <w:tcBorders>
              <w:top w:val="single" w:sz="4" w:space="0" w:color="auto"/>
              <w:left w:val="single" w:sz="4" w:space="0" w:color="auto"/>
              <w:bottom w:val="single" w:sz="4" w:space="0" w:color="auto"/>
              <w:right w:val="single" w:sz="4" w:space="0" w:color="auto"/>
            </w:tcBorders>
          </w:tcPr>
          <w:p w14:paraId="45CEFB6D" w14:textId="77777777" w:rsidR="00226190" w:rsidRPr="00226190" w:rsidRDefault="00226190" w:rsidP="00226190">
            <w:pPr>
              <w:spacing w:after="160" w:line="278" w:lineRule="auto"/>
              <w:jc w:val="center"/>
              <w:rPr>
                <w:rFonts w:ascii="Times New Roman" w:hAnsi="Times New Roman" w:cs="Times New Roman"/>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226190" w:rsidRPr="00226190" w14:paraId="2D27C480" w14:textId="77777777">
              <w:trPr>
                <w:tblCellSpacing w:w="15" w:type="dxa"/>
              </w:trPr>
              <w:tc>
                <w:tcPr>
                  <w:tcW w:w="0" w:type="auto"/>
                  <w:tcMar>
                    <w:top w:w="15" w:type="dxa"/>
                    <w:left w:w="15" w:type="dxa"/>
                    <w:bottom w:w="15" w:type="dxa"/>
                    <w:right w:w="15" w:type="dxa"/>
                  </w:tcMar>
                  <w:vAlign w:val="center"/>
                  <w:hideMark/>
                </w:tcPr>
                <w:p w14:paraId="30905C0A"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Develop standardized note conversion checklist (Version 1.0) aligned with Indiana Medicaid and CASP documentation standards.</w:t>
                  </w:r>
                </w:p>
              </w:tc>
            </w:tr>
          </w:tbl>
          <w:p w14:paraId="69AA264F"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0E158C55" w14:textId="77777777">
              <w:trPr>
                <w:tblCellSpacing w:w="15" w:type="dxa"/>
                <w:hidden/>
              </w:trPr>
              <w:tc>
                <w:tcPr>
                  <w:tcW w:w="0" w:type="auto"/>
                  <w:tcMar>
                    <w:top w:w="15" w:type="dxa"/>
                    <w:left w:w="15" w:type="dxa"/>
                    <w:bottom w:w="15" w:type="dxa"/>
                    <w:right w:w="15" w:type="dxa"/>
                  </w:tcMar>
                  <w:vAlign w:val="center"/>
                  <w:hideMark/>
                </w:tcPr>
                <w:p w14:paraId="3F8C8D4D" w14:textId="77777777" w:rsidR="00226190" w:rsidRPr="00226190" w:rsidRDefault="00226190" w:rsidP="00226190">
                  <w:pPr>
                    <w:jc w:val="center"/>
                    <w:rPr>
                      <w:rFonts w:ascii="Times New Roman" w:hAnsi="Times New Roman" w:cs="Times New Roman"/>
                      <w:vanish/>
                    </w:rPr>
                  </w:pPr>
                </w:p>
              </w:tc>
            </w:tr>
          </w:tbl>
          <w:p w14:paraId="6BB545AF" w14:textId="77777777" w:rsidR="00226190" w:rsidRPr="00226190" w:rsidRDefault="00226190" w:rsidP="00226190">
            <w:pPr>
              <w:spacing w:after="160" w:line="278" w:lineRule="auto"/>
              <w:jc w:val="center"/>
              <w:rPr>
                <w:rFonts w:ascii="Times New Roman" w:hAnsi="Times New Roman" w:cs="Times New Roman"/>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265"/>
            </w:tblGrid>
            <w:tr w:rsidR="00226190" w:rsidRPr="00226190" w14:paraId="28F6DF21" w14:textId="77777777">
              <w:trPr>
                <w:tblCellSpacing w:w="15" w:type="dxa"/>
              </w:trPr>
              <w:tc>
                <w:tcPr>
                  <w:tcW w:w="0" w:type="auto"/>
                  <w:tcMar>
                    <w:top w:w="15" w:type="dxa"/>
                    <w:left w:w="15" w:type="dxa"/>
                    <w:bottom w:w="15" w:type="dxa"/>
                    <w:right w:w="15" w:type="dxa"/>
                  </w:tcMar>
                  <w:vAlign w:val="center"/>
                  <w:hideMark/>
                </w:tcPr>
                <w:p w14:paraId="243F3C3E"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January 2026</w:t>
                  </w:r>
                </w:p>
              </w:tc>
            </w:tr>
          </w:tbl>
          <w:p w14:paraId="21DACF34"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10DF86C9" w14:textId="77777777">
              <w:trPr>
                <w:tblCellSpacing w:w="15" w:type="dxa"/>
                <w:hidden/>
              </w:trPr>
              <w:tc>
                <w:tcPr>
                  <w:tcW w:w="0" w:type="auto"/>
                  <w:tcMar>
                    <w:top w:w="15" w:type="dxa"/>
                    <w:left w:w="15" w:type="dxa"/>
                    <w:bottom w:w="15" w:type="dxa"/>
                    <w:right w:w="15" w:type="dxa"/>
                  </w:tcMar>
                  <w:vAlign w:val="center"/>
                  <w:hideMark/>
                </w:tcPr>
                <w:p w14:paraId="624BCC0A" w14:textId="77777777" w:rsidR="00226190" w:rsidRPr="00226190" w:rsidRDefault="00226190" w:rsidP="00226190">
                  <w:pPr>
                    <w:jc w:val="center"/>
                    <w:rPr>
                      <w:rFonts w:ascii="Times New Roman" w:hAnsi="Times New Roman" w:cs="Times New Roman"/>
                      <w:vanish/>
                    </w:rPr>
                  </w:pPr>
                </w:p>
              </w:tc>
            </w:tr>
          </w:tbl>
          <w:p w14:paraId="6A4276C1" w14:textId="77777777" w:rsidR="00226190" w:rsidRPr="00226190" w:rsidRDefault="00226190" w:rsidP="00226190">
            <w:pPr>
              <w:spacing w:after="160" w:line="278" w:lineRule="auto"/>
              <w:jc w:val="center"/>
              <w:rPr>
                <w:rFonts w:ascii="Times New Roman" w:hAnsi="Times New Roman" w:cs="Times New Roman"/>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226190" w:rsidRPr="00226190" w14:paraId="36E86DCE" w14:textId="77777777">
              <w:trPr>
                <w:tblCellSpacing w:w="15" w:type="dxa"/>
              </w:trPr>
              <w:tc>
                <w:tcPr>
                  <w:tcW w:w="0" w:type="auto"/>
                  <w:tcMar>
                    <w:top w:w="15" w:type="dxa"/>
                    <w:left w:w="15" w:type="dxa"/>
                    <w:bottom w:w="15" w:type="dxa"/>
                    <w:right w:w="15" w:type="dxa"/>
                  </w:tcMar>
                  <w:vAlign w:val="center"/>
                  <w:hideMark/>
                </w:tcPr>
                <w:p w14:paraId="12D2AAA0"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Checklist finalized and validated through internal peer review with BCBA and billing staff.</w:t>
                  </w:r>
                </w:p>
              </w:tc>
            </w:tr>
          </w:tbl>
          <w:p w14:paraId="0DC93BB9"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64AE34BD" w14:textId="77777777">
              <w:trPr>
                <w:tblCellSpacing w:w="15" w:type="dxa"/>
                <w:hidden/>
              </w:trPr>
              <w:tc>
                <w:tcPr>
                  <w:tcW w:w="0" w:type="auto"/>
                  <w:tcMar>
                    <w:top w:w="15" w:type="dxa"/>
                    <w:left w:w="15" w:type="dxa"/>
                    <w:bottom w:w="15" w:type="dxa"/>
                    <w:right w:w="15" w:type="dxa"/>
                  </w:tcMar>
                  <w:vAlign w:val="center"/>
                  <w:hideMark/>
                </w:tcPr>
                <w:p w14:paraId="7C04F169" w14:textId="77777777" w:rsidR="00226190" w:rsidRPr="00226190" w:rsidRDefault="00226190" w:rsidP="00226190">
                  <w:pPr>
                    <w:jc w:val="center"/>
                    <w:rPr>
                      <w:rFonts w:ascii="Times New Roman" w:hAnsi="Times New Roman" w:cs="Times New Roman"/>
                      <w:vanish/>
                    </w:rPr>
                  </w:pPr>
                </w:p>
              </w:tc>
            </w:tr>
          </w:tbl>
          <w:p w14:paraId="0A2A3092" w14:textId="77777777" w:rsidR="00226190" w:rsidRPr="00226190" w:rsidRDefault="00226190" w:rsidP="00226190">
            <w:pPr>
              <w:spacing w:after="160" w:line="278" w:lineRule="auto"/>
              <w:jc w:val="center"/>
              <w:rPr>
                <w:rFonts w:ascii="Times New Roman" w:hAnsi="Times New Roman" w:cs="Times New Roman"/>
              </w:rPr>
            </w:pPr>
          </w:p>
        </w:tc>
      </w:tr>
      <w:tr w:rsidR="00226190" w:rsidRPr="00226190" w14:paraId="0A8308B8" w14:textId="77777777">
        <w:tc>
          <w:tcPr>
            <w:tcW w:w="2519" w:type="dxa"/>
            <w:tcBorders>
              <w:top w:val="single" w:sz="4" w:space="0" w:color="auto"/>
              <w:left w:val="single" w:sz="4" w:space="0" w:color="auto"/>
              <w:bottom w:val="single" w:sz="4" w:space="0" w:color="auto"/>
              <w:right w:val="single" w:sz="4" w:space="0" w:color="auto"/>
            </w:tcBorders>
          </w:tcPr>
          <w:p w14:paraId="0C430A95" w14:textId="77777777" w:rsidR="00226190" w:rsidRPr="00226190" w:rsidRDefault="00226190" w:rsidP="00226190">
            <w:pPr>
              <w:spacing w:after="160" w:line="278" w:lineRule="auto"/>
              <w:jc w:val="center"/>
              <w:rPr>
                <w:rFonts w:ascii="Times New Roman" w:hAnsi="Times New Roman" w:cs="Times New Roman"/>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226190" w:rsidRPr="00226190" w14:paraId="3E375921" w14:textId="77777777">
              <w:trPr>
                <w:tblCellSpacing w:w="15" w:type="dxa"/>
              </w:trPr>
              <w:tc>
                <w:tcPr>
                  <w:tcW w:w="0" w:type="auto"/>
                  <w:tcMar>
                    <w:top w:w="15" w:type="dxa"/>
                    <w:left w:w="15" w:type="dxa"/>
                    <w:bottom w:w="15" w:type="dxa"/>
                    <w:right w:w="15" w:type="dxa"/>
                  </w:tcMar>
                  <w:vAlign w:val="center"/>
                  <w:hideMark/>
                </w:tcPr>
                <w:p w14:paraId="02F9A4E3"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 xml:space="preserve">Build updated </w:t>
                  </w:r>
                  <w:proofErr w:type="spellStart"/>
                  <w:r w:rsidRPr="00226190">
                    <w:rPr>
                      <w:rFonts w:ascii="Times New Roman" w:hAnsi="Times New Roman" w:cs="Times New Roman"/>
                    </w:rPr>
                    <w:t>CentralReach</w:t>
                  </w:r>
                  <w:proofErr w:type="spellEnd"/>
                  <w:r w:rsidRPr="00226190">
                    <w:rPr>
                      <w:rFonts w:ascii="Times New Roman" w:hAnsi="Times New Roman" w:cs="Times New Roman"/>
                    </w:rPr>
                    <w:t xml:space="preserve"> electronic templates embedding checklist prompts and required fields.</w:t>
                  </w:r>
                </w:p>
              </w:tc>
            </w:tr>
          </w:tbl>
          <w:p w14:paraId="6C631776"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6C229B4A" w14:textId="77777777">
              <w:trPr>
                <w:tblCellSpacing w:w="15" w:type="dxa"/>
                <w:hidden/>
              </w:trPr>
              <w:tc>
                <w:tcPr>
                  <w:tcW w:w="0" w:type="auto"/>
                  <w:tcMar>
                    <w:top w:w="15" w:type="dxa"/>
                    <w:left w:w="15" w:type="dxa"/>
                    <w:bottom w:w="15" w:type="dxa"/>
                    <w:right w:w="15" w:type="dxa"/>
                  </w:tcMar>
                  <w:vAlign w:val="center"/>
                  <w:hideMark/>
                </w:tcPr>
                <w:p w14:paraId="3087FDDC" w14:textId="77777777" w:rsidR="00226190" w:rsidRPr="00226190" w:rsidRDefault="00226190" w:rsidP="00226190">
                  <w:pPr>
                    <w:jc w:val="center"/>
                    <w:rPr>
                      <w:rFonts w:ascii="Times New Roman" w:hAnsi="Times New Roman" w:cs="Times New Roman"/>
                      <w:vanish/>
                    </w:rPr>
                  </w:pPr>
                </w:p>
              </w:tc>
            </w:tr>
          </w:tbl>
          <w:p w14:paraId="06AC52D5" w14:textId="77777777" w:rsidR="00226190" w:rsidRPr="00226190" w:rsidRDefault="00226190" w:rsidP="00226190">
            <w:pPr>
              <w:spacing w:after="160" w:line="278" w:lineRule="auto"/>
              <w:jc w:val="center"/>
              <w:rPr>
                <w:rFonts w:ascii="Times New Roman" w:hAnsi="Times New Roman" w:cs="Times New Roman"/>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265"/>
            </w:tblGrid>
            <w:tr w:rsidR="00226190" w:rsidRPr="00226190" w14:paraId="3E4E63FD" w14:textId="77777777">
              <w:trPr>
                <w:tblCellSpacing w:w="15" w:type="dxa"/>
              </w:trPr>
              <w:tc>
                <w:tcPr>
                  <w:tcW w:w="0" w:type="auto"/>
                  <w:tcMar>
                    <w:top w:w="15" w:type="dxa"/>
                    <w:left w:w="15" w:type="dxa"/>
                    <w:bottom w:w="15" w:type="dxa"/>
                    <w:right w:w="15" w:type="dxa"/>
                  </w:tcMar>
                  <w:vAlign w:val="center"/>
                  <w:hideMark/>
                </w:tcPr>
                <w:p w14:paraId="1BF26D0E"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January – February 2026</w:t>
                  </w:r>
                </w:p>
              </w:tc>
            </w:tr>
          </w:tbl>
          <w:p w14:paraId="605EB9B3"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7D7B2327" w14:textId="77777777">
              <w:trPr>
                <w:tblCellSpacing w:w="15" w:type="dxa"/>
                <w:hidden/>
              </w:trPr>
              <w:tc>
                <w:tcPr>
                  <w:tcW w:w="0" w:type="auto"/>
                  <w:tcMar>
                    <w:top w:w="15" w:type="dxa"/>
                    <w:left w:w="15" w:type="dxa"/>
                    <w:bottom w:w="15" w:type="dxa"/>
                    <w:right w:w="15" w:type="dxa"/>
                  </w:tcMar>
                  <w:vAlign w:val="center"/>
                  <w:hideMark/>
                </w:tcPr>
                <w:p w14:paraId="2D06EB3C" w14:textId="77777777" w:rsidR="00226190" w:rsidRPr="00226190" w:rsidRDefault="00226190" w:rsidP="00226190">
                  <w:pPr>
                    <w:jc w:val="center"/>
                    <w:rPr>
                      <w:rFonts w:ascii="Times New Roman" w:hAnsi="Times New Roman" w:cs="Times New Roman"/>
                      <w:vanish/>
                    </w:rPr>
                  </w:pPr>
                </w:p>
              </w:tc>
            </w:tr>
          </w:tbl>
          <w:p w14:paraId="78007E82" w14:textId="77777777" w:rsidR="00226190" w:rsidRPr="00226190" w:rsidRDefault="00226190" w:rsidP="00226190">
            <w:pPr>
              <w:spacing w:after="160" w:line="278" w:lineRule="auto"/>
              <w:jc w:val="center"/>
              <w:rPr>
                <w:rFonts w:ascii="Times New Roman" w:hAnsi="Times New Roman" w:cs="Times New Roman"/>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226190" w:rsidRPr="00226190" w14:paraId="5F21EFE1" w14:textId="77777777">
              <w:trPr>
                <w:tblCellSpacing w:w="15" w:type="dxa"/>
              </w:trPr>
              <w:tc>
                <w:tcPr>
                  <w:tcW w:w="0" w:type="auto"/>
                  <w:tcMar>
                    <w:top w:w="15" w:type="dxa"/>
                    <w:left w:w="15" w:type="dxa"/>
                    <w:bottom w:w="15" w:type="dxa"/>
                    <w:right w:w="15" w:type="dxa"/>
                  </w:tcMar>
                  <w:vAlign w:val="center"/>
                  <w:hideMark/>
                </w:tcPr>
                <w:p w14:paraId="46023E6F"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System testing complete; mock notes verified for accuracy and functionality before live pilot.</w:t>
                  </w:r>
                </w:p>
              </w:tc>
            </w:tr>
          </w:tbl>
          <w:p w14:paraId="33FC767C"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5F69A4F2" w14:textId="77777777">
              <w:trPr>
                <w:tblCellSpacing w:w="15" w:type="dxa"/>
                <w:hidden/>
              </w:trPr>
              <w:tc>
                <w:tcPr>
                  <w:tcW w:w="0" w:type="auto"/>
                  <w:tcMar>
                    <w:top w:w="15" w:type="dxa"/>
                    <w:left w:w="15" w:type="dxa"/>
                    <w:bottom w:w="15" w:type="dxa"/>
                    <w:right w:w="15" w:type="dxa"/>
                  </w:tcMar>
                  <w:vAlign w:val="center"/>
                  <w:hideMark/>
                </w:tcPr>
                <w:p w14:paraId="775A5487" w14:textId="77777777" w:rsidR="00226190" w:rsidRPr="00226190" w:rsidRDefault="00226190" w:rsidP="00226190">
                  <w:pPr>
                    <w:jc w:val="center"/>
                    <w:rPr>
                      <w:rFonts w:ascii="Times New Roman" w:hAnsi="Times New Roman" w:cs="Times New Roman"/>
                      <w:vanish/>
                    </w:rPr>
                  </w:pPr>
                </w:p>
              </w:tc>
            </w:tr>
          </w:tbl>
          <w:p w14:paraId="72E9B2F3" w14:textId="77777777" w:rsidR="00226190" w:rsidRPr="00226190" w:rsidRDefault="00226190" w:rsidP="00226190">
            <w:pPr>
              <w:spacing w:after="160" w:line="278" w:lineRule="auto"/>
              <w:jc w:val="center"/>
              <w:rPr>
                <w:rFonts w:ascii="Times New Roman" w:hAnsi="Times New Roman" w:cs="Times New Roman"/>
              </w:rPr>
            </w:pPr>
          </w:p>
        </w:tc>
      </w:tr>
      <w:tr w:rsidR="00226190" w:rsidRPr="00226190" w14:paraId="0BCF749C" w14:textId="77777777">
        <w:tc>
          <w:tcPr>
            <w:tcW w:w="2519" w:type="dxa"/>
            <w:tcBorders>
              <w:top w:val="single" w:sz="4" w:space="0" w:color="auto"/>
              <w:left w:val="single" w:sz="4" w:space="0" w:color="auto"/>
              <w:bottom w:val="single" w:sz="4" w:space="0" w:color="auto"/>
              <w:right w:val="single" w:sz="4" w:space="0" w:color="auto"/>
            </w:tcBorders>
          </w:tcPr>
          <w:p w14:paraId="5FF238CF" w14:textId="77777777" w:rsidR="00226190" w:rsidRPr="00226190" w:rsidRDefault="00226190" w:rsidP="00226190">
            <w:pPr>
              <w:spacing w:after="160" w:line="278" w:lineRule="auto"/>
              <w:jc w:val="center"/>
              <w:rPr>
                <w:rFonts w:ascii="Times New Roman" w:hAnsi="Times New Roman" w:cs="Times New Roman"/>
              </w:rPr>
            </w:pPr>
            <w:r w:rsidRPr="00226190">
              <w:rPr>
                <w:rFonts w:ascii="Times New Roman" w:hAnsi="Times New Roman" w:cs="Times New Roman"/>
              </w:rPr>
              <w:t>Intervention</w:t>
            </w:r>
          </w:p>
          <w:p w14:paraId="6A7A3F5A" w14:textId="77777777" w:rsidR="00226190" w:rsidRPr="00226190" w:rsidRDefault="00226190" w:rsidP="00226190">
            <w:pPr>
              <w:spacing w:after="160" w:line="278" w:lineRule="auto"/>
              <w:jc w:val="center"/>
              <w:rPr>
                <w:rFonts w:ascii="Times New Roman" w:hAnsi="Times New Roman" w:cs="Times New Roman"/>
              </w:rPr>
            </w:pPr>
            <w:r w:rsidRPr="00226190">
              <w:rPr>
                <w:rFonts w:ascii="Times New Roman" w:hAnsi="Times New Roman" w:cs="Times New Roman"/>
              </w:rPr>
              <w:t>(from intervention list)</w:t>
            </w:r>
          </w:p>
          <w:p w14:paraId="6EDD5DF2" w14:textId="77777777" w:rsidR="00226190" w:rsidRPr="00226190" w:rsidRDefault="00226190" w:rsidP="00226190">
            <w:pPr>
              <w:spacing w:after="160" w:line="278" w:lineRule="auto"/>
              <w:jc w:val="center"/>
              <w:rPr>
                <w:rFonts w:ascii="Times New Roman" w:hAnsi="Times New Roman" w:cs="Times New Roman"/>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226190" w:rsidRPr="00226190" w14:paraId="28E4E54E" w14:textId="77777777">
              <w:trPr>
                <w:tblCellSpacing w:w="15" w:type="dxa"/>
              </w:trPr>
              <w:tc>
                <w:tcPr>
                  <w:tcW w:w="0" w:type="auto"/>
                  <w:tcMar>
                    <w:top w:w="15" w:type="dxa"/>
                    <w:left w:w="15" w:type="dxa"/>
                    <w:bottom w:w="15" w:type="dxa"/>
                    <w:right w:w="15" w:type="dxa"/>
                  </w:tcMar>
                  <w:vAlign w:val="center"/>
                  <w:hideMark/>
                </w:tcPr>
                <w:p w14:paraId="3D6A0F97"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 xml:space="preserve">Staff Training: Deliver Medicaid Documentation Compliance Workshop using BST (instruction, modeling, </w:t>
                  </w:r>
                  <w:r w:rsidRPr="00226190">
                    <w:rPr>
                      <w:rFonts w:ascii="Times New Roman" w:hAnsi="Times New Roman" w:cs="Times New Roman"/>
                    </w:rPr>
                    <w:lastRenderedPageBreak/>
                    <w:t>rehearsal, feedback).</w:t>
                  </w:r>
                </w:p>
              </w:tc>
            </w:tr>
          </w:tbl>
          <w:p w14:paraId="703DA5D1"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4CABD971" w14:textId="77777777">
              <w:trPr>
                <w:tblCellSpacing w:w="15" w:type="dxa"/>
                <w:hidden/>
              </w:trPr>
              <w:tc>
                <w:tcPr>
                  <w:tcW w:w="0" w:type="auto"/>
                  <w:tcMar>
                    <w:top w:w="15" w:type="dxa"/>
                    <w:left w:w="15" w:type="dxa"/>
                    <w:bottom w:w="15" w:type="dxa"/>
                    <w:right w:w="15" w:type="dxa"/>
                  </w:tcMar>
                  <w:vAlign w:val="center"/>
                  <w:hideMark/>
                </w:tcPr>
                <w:p w14:paraId="080F43E2" w14:textId="77777777" w:rsidR="00226190" w:rsidRPr="00226190" w:rsidRDefault="00226190" w:rsidP="00226190">
                  <w:pPr>
                    <w:jc w:val="center"/>
                    <w:rPr>
                      <w:rFonts w:ascii="Times New Roman" w:hAnsi="Times New Roman" w:cs="Times New Roman"/>
                      <w:vanish/>
                    </w:rPr>
                  </w:pPr>
                </w:p>
              </w:tc>
            </w:tr>
          </w:tbl>
          <w:p w14:paraId="77C1A18F" w14:textId="77777777" w:rsidR="00226190" w:rsidRPr="00226190" w:rsidRDefault="00226190" w:rsidP="00226190">
            <w:pPr>
              <w:spacing w:after="160" w:line="278" w:lineRule="auto"/>
              <w:jc w:val="center"/>
              <w:rPr>
                <w:rFonts w:ascii="Times New Roman" w:hAnsi="Times New Roman" w:cs="Times New Roman"/>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265"/>
            </w:tblGrid>
            <w:tr w:rsidR="00226190" w:rsidRPr="00226190" w14:paraId="2B011D9C" w14:textId="77777777">
              <w:trPr>
                <w:tblCellSpacing w:w="15" w:type="dxa"/>
              </w:trPr>
              <w:tc>
                <w:tcPr>
                  <w:tcW w:w="0" w:type="auto"/>
                  <w:tcMar>
                    <w:top w:w="15" w:type="dxa"/>
                    <w:left w:w="15" w:type="dxa"/>
                    <w:bottom w:w="15" w:type="dxa"/>
                    <w:right w:w="15" w:type="dxa"/>
                  </w:tcMar>
                  <w:vAlign w:val="center"/>
                  <w:hideMark/>
                </w:tcPr>
                <w:p w14:paraId="5A5FDF29"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lastRenderedPageBreak/>
                    <w:t>January – February 2026</w:t>
                  </w:r>
                </w:p>
              </w:tc>
            </w:tr>
          </w:tbl>
          <w:p w14:paraId="64D9AADC"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7F65AFB3" w14:textId="77777777">
              <w:trPr>
                <w:tblCellSpacing w:w="15" w:type="dxa"/>
                <w:hidden/>
              </w:trPr>
              <w:tc>
                <w:tcPr>
                  <w:tcW w:w="0" w:type="auto"/>
                  <w:tcMar>
                    <w:top w:w="15" w:type="dxa"/>
                    <w:left w:w="15" w:type="dxa"/>
                    <w:bottom w:w="15" w:type="dxa"/>
                    <w:right w:w="15" w:type="dxa"/>
                  </w:tcMar>
                  <w:vAlign w:val="center"/>
                  <w:hideMark/>
                </w:tcPr>
                <w:p w14:paraId="0D7C94D0" w14:textId="77777777" w:rsidR="00226190" w:rsidRPr="00226190" w:rsidRDefault="00226190" w:rsidP="00226190">
                  <w:pPr>
                    <w:jc w:val="center"/>
                    <w:rPr>
                      <w:rFonts w:ascii="Times New Roman" w:hAnsi="Times New Roman" w:cs="Times New Roman"/>
                      <w:vanish/>
                    </w:rPr>
                  </w:pPr>
                </w:p>
              </w:tc>
            </w:tr>
          </w:tbl>
          <w:p w14:paraId="7B125272" w14:textId="77777777" w:rsidR="00226190" w:rsidRPr="00226190" w:rsidRDefault="00226190" w:rsidP="00226190">
            <w:pPr>
              <w:spacing w:after="160" w:line="278" w:lineRule="auto"/>
              <w:jc w:val="center"/>
              <w:rPr>
                <w:rFonts w:ascii="Times New Roman" w:hAnsi="Times New Roman" w:cs="Times New Roman"/>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226190" w:rsidRPr="00226190" w14:paraId="412B0D02" w14:textId="77777777">
              <w:trPr>
                <w:tblCellSpacing w:w="15" w:type="dxa"/>
              </w:trPr>
              <w:tc>
                <w:tcPr>
                  <w:tcW w:w="0" w:type="auto"/>
                  <w:tcMar>
                    <w:top w:w="15" w:type="dxa"/>
                    <w:left w:w="15" w:type="dxa"/>
                    <w:bottom w:w="15" w:type="dxa"/>
                    <w:right w:w="15" w:type="dxa"/>
                  </w:tcMar>
                  <w:vAlign w:val="center"/>
                  <w:hideMark/>
                </w:tcPr>
                <w:p w14:paraId="08F1D953"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 xml:space="preserve">All RBTs, </w:t>
                  </w:r>
                  <w:proofErr w:type="spellStart"/>
                  <w:r w:rsidRPr="00226190">
                    <w:rPr>
                      <w:rFonts w:ascii="Times New Roman" w:hAnsi="Times New Roman" w:cs="Times New Roman"/>
                    </w:rPr>
                    <w:t>BCaBAs</w:t>
                  </w:r>
                  <w:proofErr w:type="spellEnd"/>
                  <w:r w:rsidRPr="00226190">
                    <w:rPr>
                      <w:rFonts w:ascii="Times New Roman" w:hAnsi="Times New Roman" w:cs="Times New Roman"/>
                    </w:rPr>
                    <w:t>, and BCBAs trained; post-training accuracy ≥ 80%.</w:t>
                  </w:r>
                </w:p>
              </w:tc>
            </w:tr>
          </w:tbl>
          <w:p w14:paraId="2B9EE6FC"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280A15E6" w14:textId="77777777">
              <w:trPr>
                <w:tblCellSpacing w:w="15" w:type="dxa"/>
                <w:hidden/>
              </w:trPr>
              <w:tc>
                <w:tcPr>
                  <w:tcW w:w="0" w:type="auto"/>
                  <w:tcMar>
                    <w:top w:w="15" w:type="dxa"/>
                    <w:left w:w="15" w:type="dxa"/>
                    <w:bottom w:w="15" w:type="dxa"/>
                    <w:right w:w="15" w:type="dxa"/>
                  </w:tcMar>
                  <w:vAlign w:val="center"/>
                  <w:hideMark/>
                </w:tcPr>
                <w:p w14:paraId="0A10228C" w14:textId="77777777" w:rsidR="00226190" w:rsidRPr="00226190" w:rsidRDefault="00226190" w:rsidP="00226190">
                  <w:pPr>
                    <w:jc w:val="center"/>
                    <w:rPr>
                      <w:rFonts w:ascii="Times New Roman" w:hAnsi="Times New Roman" w:cs="Times New Roman"/>
                      <w:vanish/>
                    </w:rPr>
                  </w:pPr>
                </w:p>
              </w:tc>
            </w:tr>
          </w:tbl>
          <w:p w14:paraId="25F6E582" w14:textId="77777777" w:rsidR="00226190" w:rsidRPr="00226190" w:rsidRDefault="00226190" w:rsidP="00226190">
            <w:pPr>
              <w:spacing w:after="160" w:line="278" w:lineRule="auto"/>
              <w:jc w:val="center"/>
              <w:rPr>
                <w:rFonts w:ascii="Times New Roman" w:hAnsi="Times New Roman" w:cs="Times New Roman"/>
              </w:rPr>
            </w:pPr>
          </w:p>
        </w:tc>
      </w:tr>
      <w:tr w:rsidR="00226190" w:rsidRPr="00226190" w14:paraId="6777B607" w14:textId="77777777">
        <w:tc>
          <w:tcPr>
            <w:tcW w:w="2519" w:type="dxa"/>
            <w:tcBorders>
              <w:top w:val="single" w:sz="4" w:space="0" w:color="auto"/>
              <w:left w:val="single" w:sz="4" w:space="0" w:color="auto"/>
              <w:bottom w:val="single" w:sz="4" w:space="0" w:color="auto"/>
              <w:right w:val="single" w:sz="4" w:space="0" w:color="auto"/>
            </w:tcBorders>
          </w:tcPr>
          <w:p w14:paraId="30B949FB" w14:textId="77777777" w:rsidR="00226190" w:rsidRPr="00226190" w:rsidRDefault="00226190" w:rsidP="00226190">
            <w:pPr>
              <w:spacing w:after="160" w:line="278" w:lineRule="auto"/>
              <w:jc w:val="center"/>
              <w:rPr>
                <w:rFonts w:ascii="Times New Roman" w:hAnsi="Times New Roman" w:cs="Times New Roman"/>
              </w:rPr>
            </w:pPr>
          </w:p>
          <w:p w14:paraId="4F57FCB2" w14:textId="77777777" w:rsidR="00226190" w:rsidRPr="00226190" w:rsidRDefault="00226190" w:rsidP="00226190">
            <w:pPr>
              <w:spacing w:after="160" w:line="278" w:lineRule="auto"/>
              <w:jc w:val="center"/>
              <w:rPr>
                <w:rFonts w:ascii="Times New Roman" w:hAnsi="Times New Roman" w:cs="Times New Roman"/>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226190" w:rsidRPr="00226190" w14:paraId="1DED949A" w14:textId="77777777">
              <w:trPr>
                <w:tblCellSpacing w:w="15" w:type="dxa"/>
              </w:trPr>
              <w:tc>
                <w:tcPr>
                  <w:tcW w:w="0" w:type="auto"/>
                  <w:tcMar>
                    <w:top w:w="15" w:type="dxa"/>
                    <w:left w:w="15" w:type="dxa"/>
                    <w:bottom w:w="15" w:type="dxa"/>
                    <w:right w:w="15" w:type="dxa"/>
                  </w:tcMar>
                  <w:vAlign w:val="center"/>
                  <w:hideMark/>
                </w:tcPr>
                <w:p w14:paraId="7D8622AF"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Pilot Implementation: Apply checklist and updated templates at one clinic for two weeks to evaluate usability and workflow impact.</w:t>
                  </w:r>
                </w:p>
              </w:tc>
            </w:tr>
          </w:tbl>
          <w:p w14:paraId="3E6AA9B1"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291DDC80" w14:textId="77777777">
              <w:trPr>
                <w:tblCellSpacing w:w="15" w:type="dxa"/>
                <w:hidden/>
              </w:trPr>
              <w:tc>
                <w:tcPr>
                  <w:tcW w:w="0" w:type="auto"/>
                  <w:tcMar>
                    <w:top w:w="15" w:type="dxa"/>
                    <w:left w:w="15" w:type="dxa"/>
                    <w:bottom w:w="15" w:type="dxa"/>
                    <w:right w:w="15" w:type="dxa"/>
                  </w:tcMar>
                  <w:vAlign w:val="center"/>
                  <w:hideMark/>
                </w:tcPr>
                <w:p w14:paraId="1CFCCBA9" w14:textId="77777777" w:rsidR="00226190" w:rsidRPr="00226190" w:rsidRDefault="00226190" w:rsidP="00226190">
                  <w:pPr>
                    <w:jc w:val="center"/>
                    <w:rPr>
                      <w:rFonts w:ascii="Times New Roman" w:hAnsi="Times New Roman" w:cs="Times New Roman"/>
                      <w:vanish/>
                    </w:rPr>
                  </w:pPr>
                </w:p>
              </w:tc>
            </w:tr>
          </w:tbl>
          <w:p w14:paraId="79A0E6A0" w14:textId="77777777" w:rsidR="00226190" w:rsidRPr="00226190" w:rsidRDefault="00226190" w:rsidP="00226190">
            <w:pPr>
              <w:spacing w:after="160" w:line="278" w:lineRule="auto"/>
              <w:jc w:val="center"/>
              <w:rPr>
                <w:rFonts w:ascii="Times New Roman" w:hAnsi="Times New Roman" w:cs="Times New Roman"/>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265"/>
            </w:tblGrid>
            <w:tr w:rsidR="00226190" w:rsidRPr="00226190" w14:paraId="552BEE44" w14:textId="77777777">
              <w:trPr>
                <w:tblCellSpacing w:w="15" w:type="dxa"/>
              </w:trPr>
              <w:tc>
                <w:tcPr>
                  <w:tcW w:w="0" w:type="auto"/>
                  <w:tcMar>
                    <w:top w:w="15" w:type="dxa"/>
                    <w:left w:w="15" w:type="dxa"/>
                    <w:bottom w:w="15" w:type="dxa"/>
                    <w:right w:w="15" w:type="dxa"/>
                  </w:tcMar>
                  <w:vAlign w:val="center"/>
                  <w:hideMark/>
                </w:tcPr>
                <w:p w14:paraId="2CBC76F2"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January – February 2026</w:t>
                  </w:r>
                </w:p>
              </w:tc>
            </w:tr>
          </w:tbl>
          <w:p w14:paraId="11608411"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172289E0" w14:textId="77777777">
              <w:trPr>
                <w:tblCellSpacing w:w="15" w:type="dxa"/>
                <w:hidden/>
              </w:trPr>
              <w:tc>
                <w:tcPr>
                  <w:tcW w:w="0" w:type="auto"/>
                  <w:tcMar>
                    <w:top w:w="15" w:type="dxa"/>
                    <w:left w:w="15" w:type="dxa"/>
                    <w:bottom w:w="15" w:type="dxa"/>
                    <w:right w:w="15" w:type="dxa"/>
                  </w:tcMar>
                  <w:vAlign w:val="center"/>
                  <w:hideMark/>
                </w:tcPr>
                <w:p w14:paraId="3EB74017" w14:textId="77777777" w:rsidR="00226190" w:rsidRPr="00226190" w:rsidRDefault="00226190" w:rsidP="00226190">
                  <w:pPr>
                    <w:jc w:val="center"/>
                    <w:rPr>
                      <w:rFonts w:ascii="Times New Roman" w:hAnsi="Times New Roman" w:cs="Times New Roman"/>
                      <w:vanish/>
                    </w:rPr>
                  </w:pPr>
                </w:p>
              </w:tc>
            </w:tr>
          </w:tbl>
          <w:p w14:paraId="23100FD9" w14:textId="77777777" w:rsidR="00226190" w:rsidRPr="00226190" w:rsidRDefault="00226190" w:rsidP="00226190">
            <w:pPr>
              <w:spacing w:after="160" w:line="278" w:lineRule="auto"/>
              <w:jc w:val="center"/>
              <w:rPr>
                <w:rFonts w:ascii="Times New Roman" w:hAnsi="Times New Roman" w:cs="Times New Roman"/>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226190" w:rsidRPr="00226190" w14:paraId="4659524A" w14:textId="77777777">
              <w:trPr>
                <w:tblCellSpacing w:w="15" w:type="dxa"/>
              </w:trPr>
              <w:tc>
                <w:tcPr>
                  <w:tcW w:w="0" w:type="auto"/>
                  <w:tcMar>
                    <w:top w:w="15" w:type="dxa"/>
                    <w:left w:w="15" w:type="dxa"/>
                    <w:bottom w:w="15" w:type="dxa"/>
                    <w:right w:w="15" w:type="dxa"/>
                  </w:tcMar>
                  <w:vAlign w:val="center"/>
                  <w:hideMark/>
                </w:tcPr>
                <w:p w14:paraId="3A3CB786"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Collect staff feedback; refine checklist to Version 1.1 based on pilot data.</w:t>
                  </w:r>
                </w:p>
              </w:tc>
            </w:tr>
          </w:tbl>
          <w:p w14:paraId="6BB6CD14"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4692146A" w14:textId="77777777">
              <w:trPr>
                <w:tblCellSpacing w:w="15" w:type="dxa"/>
                <w:hidden/>
              </w:trPr>
              <w:tc>
                <w:tcPr>
                  <w:tcW w:w="0" w:type="auto"/>
                  <w:tcMar>
                    <w:top w:w="15" w:type="dxa"/>
                    <w:left w:w="15" w:type="dxa"/>
                    <w:bottom w:w="15" w:type="dxa"/>
                    <w:right w:w="15" w:type="dxa"/>
                  </w:tcMar>
                  <w:vAlign w:val="center"/>
                  <w:hideMark/>
                </w:tcPr>
                <w:p w14:paraId="5EE65D31" w14:textId="77777777" w:rsidR="00226190" w:rsidRPr="00226190" w:rsidRDefault="00226190" w:rsidP="00226190">
                  <w:pPr>
                    <w:jc w:val="center"/>
                    <w:rPr>
                      <w:rFonts w:ascii="Times New Roman" w:hAnsi="Times New Roman" w:cs="Times New Roman"/>
                      <w:vanish/>
                    </w:rPr>
                  </w:pPr>
                </w:p>
              </w:tc>
            </w:tr>
          </w:tbl>
          <w:p w14:paraId="6D260AC2" w14:textId="77777777" w:rsidR="00226190" w:rsidRPr="00226190" w:rsidRDefault="00226190" w:rsidP="00226190">
            <w:pPr>
              <w:spacing w:after="160" w:line="278" w:lineRule="auto"/>
              <w:jc w:val="center"/>
              <w:rPr>
                <w:rFonts w:ascii="Times New Roman" w:hAnsi="Times New Roman" w:cs="Times New Roman"/>
              </w:rPr>
            </w:pPr>
          </w:p>
        </w:tc>
      </w:tr>
      <w:tr w:rsidR="00226190" w:rsidRPr="00226190" w14:paraId="083C27A4" w14:textId="77777777">
        <w:tc>
          <w:tcPr>
            <w:tcW w:w="2519" w:type="dxa"/>
            <w:tcBorders>
              <w:top w:val="single" w:sz="4" w:space="0" w:color="auto"/>
              <w:left w:val="single" w:sz="4" w:space="0" w:color="auto"/>
              <w:bottom w:val="single" w:sz="4" w:space="0" w:color="auto"/>
              <w:right w:val="single" w:sz="4" w:space="0" w:color="auto"/>
            </w:tcBorders>
          </w:tcPr>
          <w:p w14:paraId="768F06A0" w14:textId="77777777" w:rsidR="00226190" w:rsidRPr="00226190" w:rsidRDefault="00226190" w:rsidP="00226190">
            <w:pPr>
              <w:spacing w:after="160" w:line="278" w:lineRule="auto"/>
              <w:jc w:val="center"/>
              <w:rPr>
                <w:rFonts w:ascii="Times New Roman" w:hAnsi="Times New Roman" w:cs="Times New Roman"/>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226190" w:rsidRPr="00226190" w14:paraId="1DB9C08B" w14:textId="77777777">
              <w:trPr>
                <w:tblCellSpacing w:w="15" w:type="dxa"/>
              </w:trPr>
              <w:tc>
                <w:tcPr>
                  <w:tcW w:w="0" w:type="auto"/>
                  <w:tcMar>
                    <w:top w:w="15" w:type="dxa"/>
                    <w:left w:w="15" w:type="dxa"/>
                    <w:bottom w:w="15" w:type="dxa"/>
                    <w:right w:w="15" w:type="dxa"/>
                  </w:tcMar>
                  <w:vAlign w:val="center"/>
                  <w:hideMark/>
                </w:tcPr>
                <w:p w14:paraId="67FE3164"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 xml:space="preserve">System-Wide Rollout: Launch finalized checklist and </w:t>
                  </w:r>
                  <w:proofErr w:type="spellStart"/>
                  <w:r w:rsidRPr="00226190">
                    <w:rPr>
                      <w:rFonts w:ascii="Times New Roman" w:hAnsi="Times New Roman" w:cs="Times New Roman"/>
                    </w:rPr>
                    <w:t>CentralReach</w:t>
                  </w:r>
                  <w:proofErr w:type="spellEnd"/>
                  <w:r w:rsidRPr="00226190">
                    <w:rPr>
                      <w:rFonts w:ascii="Times New Roman" w:hAnsi="Times New Roman" w:cs="Times New Roman"/>
                    </w:rPr>
                    <w:t xml:space="preserve"> template across all Harsha Autism Center sites.</w:t>
                  </w:r>
                </w:p>
              </w:tc>
            </w:tr>
          </w:tbl>
          <w:p w14:paraId="7A1C4798"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7F92D2FF" w14:textId="77777777">
              <w:trPr>
                <w:tblCellSpacing w:w="15" w:type="dxa"/>
                <w:hidden/>
              </w:trPr>
              <w:tc>
                <w:tcPr>
                  <w:tcW w:w="0" w:type="auto"/>
                  <w:tcMar>
                    <w:top w:w="15" w:type="dxa"/>
                    <w:left w:w="15" w:type="dxa"/>
                    <w:bottom w:w="15" w:type="dxa"/>
                    <w:right w:w="15" w:type="dxa"/>
                  </w:tcMar>
                  <w:vAlign w:val="center"/>
                  <w:hideMark/>
                </w:tcPr>
                <w:p w14:paraId="29F38DC7" w14:textId="77777777" w:rsidR="00226190" w:rsidRPr="00226190" w:rsidRDefault="00226190" w:rsidP="00226190">
                  <w:pPr>
                    <w:jc w:val="center"/>
                    <w:rPr>
                      <w:rFonts w:ascii="Times New Roman" w:hAnsi="Times New Roman" w:cs="Times New Roman"/>
                      <w:vanish/>
                    </w:rPr>
                  </w:pPr>
                </w:p>
              </w:tc>
            </w:tr>
          </w:tbl>
          <w:p w14:paraId="3EB57A52" w14:textId="77777777" w:rsidR="00226190" w:rsidRPr="00226190" w:rsidRDefault="00226190" w:rsidP="00226190">
            <w:pPr>
              <w:spacing w:after="160" w:line="278" w:lineRule="auto"/>
              <w:jc w:val="center"/>
              <w:rPr>
                <w:rFonts w:ascii="Times New Roman" w:hAnsi="Times New Roman" w:cs="Times New Roman"/>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257"/>
            </w:tblGrid>
            <w:tr w:rsidR="00226190" w:rsidRPr="00226190" w14:paraId="6BF07431" w14:textId="77777777">
              <w:trPr>
                <w:tblCellSpacing w:w="15" w:type="dxa"/>
              </w:trPr>
              <w:tc>
                <w:tcPr>
                  <w:tcW w:w="0" w:type="auto"/>
                  <w:tcMar>
                    <w:top w:w="15" w:type="dxa"/>
                    <w:left w:w="15" w:type="dxa"/>
                    <w:bottom w:w="15" w:type="dxa"/>
                    <w:right w:w="15" w:type="dxa"/>
                  </w:tcMar>
                  <w:vAlign w:val="center"/>
                  <w:hideMark/>
                </w:tcPr>
                <w:p w14:paraId="53227507"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March 2026</w:t>
                  </w:r>
                </w:p>
              </w:tc>
            </w:tr>
          </w:tbl>
          <w:p w14:paraId="02A6762A"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4466430F" w14:textId="77777777">
              <w:trPr>
                <w:tblCellSpacing w:w="15" w:type="dxa"/>
                <w:hidden/>
              </w:trPr>
              <w:tc>
                <w:tcPr>
                  <w:tcW w:w="0" w:type="auto"/>
                  <w:tcMar>
                    <w:top w:w="15" w:type="dxa"/>
                    <w:left w:w="15" w:type="dxa"/>
                    <w:bottom w:w="15" w:type="dxa"/>
                    <w:right w:w="15" w:type="dxa"/>
                  </w:tcMar>
                  <w:vAlign w:val="center"/>
                  <w:hideMark/>
                </w:tcPr>
                <w:p w14:paraId="470FCE33" w14:textId="77777777" w:rsidR="00226190" w:rsidRPr="00226190" w:rsidRDefault="00226190" w:rsidP="00226190">
                  <w:pPr>
                    <w:jc w:val="center"/>
                    <w:rPr>
                      <w:rFonts w:ascii="Times New Roman" w:hAnsi="Times New Roman" w:cs="Times New Roman"/>
                      <w:vanish/>
                    </w:rPr>
                  </w:pPr>
                </w:p>
              </w:tc>
            </w:tr>
          </w:tbl>
          <w:p w14:paraId="222780B3" w14:textId="77777777" w:rsidR="00226190" w:rsidRPr="00226190" w:rsidRDefault="00226190" w:rsidP="00226190">
            <w:pPr>
              <w:spacing w:after="160" w:line="278" w:lineRule="auto"/>
              <w:jc w:val="center"/>
              <w:rPr>
                <w:rFonts w:ascii="Times New Roman" w:hAnsi="Times New Roman" w:cs="Times New Roman"/>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226190" w:rsidRPr="00226190" w14:paraId="5424EF08" w14:textId="77777777">
              <w:trPr>
                <w:tblCellSpacing w:w="15" w:type="dxa"/>
              </w:trPr>
              <w:tc>
                <w:tcPr>
                  <w:tcW w:w="0" w:type="auto"/>
                  <w:tcMar>
                    <w:top w:w="15" w:type="dxa"/>
                    <w:left w:w="15" w:type="dxa"/>
                    <w:bottom w:w="15" w:type="dxa"/>
                    <w:right w:w="15" w:type="dxa"/>
                  </w:tcMar>
                  <w:vAlign w:val="center"/>
                  <w:hideMark/>
                </w:tcPr>
                <w:p w14:paraId="60811C3B"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Organization-wide adoption achieved. Super-users assigned at each site for ongoing support.</w:t>
                  </w:r>
                </w:p>
              </w:tc>
            </w:tr>
          </w:tbl>
          <w:p w14:paraId="27F2D974"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7E1C7E05" w14:textId="77777777">
              <w:trPr>
                <w:tblCellSpacing w:w="15" w:type="dxa"/>
                <w:hidden/>
              </w:trPr>
              <w:tc>
                <w:tcPr>
                  <w:tcW w:w="0" w:type="auto"/>
                  <w:tcMar>
                    <w:top w:w="15" w:type="dxa"/>
                    <w:left w:w="15" w:type="dxa"/>
                    <w:bottom w:w="15" w:type="dxa"/>
                    <w:right w:w="15" w:type="dxa"/>
                  </w:tcMar>
                  <w:vAlign w:val="center"/>
                  <w:hideMark/>
                </w:tcPr>
                <w:p w14:paraId="2A8CFEEC" w14:textId="77777777" w:rsidR="00226190" w:rsidRPr="00226190" w:rsidRDefault="00226190" w:rsidP="00226190">
                  <w:pPr>
                    <w:jc w:val="center"/>
                    <w:rPr>
                      <w:rFonts w:ascii="Times New Roman" w:hAnsi="Times New Roman" w:cs="Times New Roman"/>
                      <w:vanish/>
                    </w:rPr>
                  </w:pPr>
                </w:p>
              </w:tc>
            </w:tr>
          </w:tbl>
          <w:p w14:paraId="261B814D" w14:textId="77777777" w:rsidR="00226190" w:rsidRPr="00226190" w:rsidRDefault="00226190" w:rsidP="00226190">
            <w:pPr>
              <w:spacing w:after="160" w:line="278" w:lineRule="auto"/>
              <w:jc w:val="center"/>
              <w:rPr>
                <w:rFonts w:ascii="Times New Roman" w:hAnsi="Times New Roman" w:cs="Times New Roman"/>
              </w:rPr>
            </w:pPr>
          </w:p>
        </w:tc>
      </w:tr>
      <w:tr w:rsidR="00226190" w:rsidRPr="00226190" w14:paraId="0A8B1ECB" w14:textId="77777777">
        <w:tc>
          <w:tcPr>
            <w:tcW w:w="2519" w:type="dxa"/>
            <w:tcBorders>
              <w:top w:val="single" w:sz="4" w:space="0" w:color="auto"/>
              <w:left w:val="single" w:sz="4" w:space="0" w:color="auto"/>
              <w:bottom w:val="single" w:sz="4" w:space="0" w:color="auto"/>
              <w:right w:val="single" w:sz="4" w:space="0" w:color="auto"/>
            </w:tcBorders>
          </w:tcPr>
          <w:p w14:paraId="06C968B1" w14:textId="77777777" w:rsidR="00226190" w:rsidRPr="00226190" w:rsidRDefault="00226190" w:rsidP="00226190">
            <w:pPr>
              <w:spacing w:after="160" w:line="278" w:lineRule="auto"/>
              <w:jc w:val="center"/>
              <w:rPr>
                <w:rFonts w:ascii="Times New Roman" w:hAnsi="Times New Roman" w:cs="Times New Roman"/>
              </w:rPr>
            </w:pPr>
          </w:p>
          <w:p w14:paraId="77C204EC" w14:textId="77777777" w:rsidR="00226190" w:rsidRPr="00226190" w:rsidRDefault="00226190" w:rsidP="00226190">
            <w:pPr>
              <w:spacing w:after="160" w:line="278" w:lineRule="auto"/>
              <w:jc w:val="center"/>
              <w:rPr>
                <w:rFonts w:ascii="Times New Roman" w:hAnsi="Times New Roman" w:cs="Times New Roman"/>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226190" w:rsidRPr="00226190" w14:paraId="667E3C87" w14:textId="77777777">
              <w:trPr>
                <w:tblCellSpacing w:w="15" w:type="dxa"/>
              </w:trPr>
              <w:tc>
                <w:tcPr>
                  <w:tcW w:w="0" w:type="auto"/>
                  <w:tcMar>
                    <w:top w:w="15" w:type="dxa"/>
                    <w:left w:w="15" w:type="dxa"/>
                    <w:bottom w:w="15" w:type="dxa"/>
                    <w:right w:w="15" w:type="dxa"/>
                  </w:tcMar>
                  <w:vAlign w:val="center"/>
                  <w:hideMark/>
                </w:tcPr>
                <w:p w14:paraId="6943BB88"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Monthly Documentation Audits and Feedback: QA team audits 10 % of session notes monthly using the DCAT.</w:t>
                  </w:r>
                </w:p>
              </w:tc>
            </w:tr>
          </w:tbl>
          <w:p w14:paraId="13E4E502"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524EB84E" w14:textId="77777777">
              <w:trPr>
                <w:tblCellSpacing w:w="15" w:type="dxa"/>
                <w:hidden/>
              </w:trPr>
              <w:tc>
                <w:tcPr>
                  <w:tcW w:w="0" w:type="auto"/>
                  <w:tcMar>
                    <w:top w:w="15" w:type="dxa"/>
                    <w:left w:w="15" w:type="dxa"/>
                    <w:bottom w:w="15" w:type="dxa"/>
                    <w:right w:w="15" w:type="dxa"/>
                  </w:tcMar>
                  <w:vAlign w:val="center"/>
                  <w:hideMark/>
                </w:tcPr>
                <w:p w14:paraId="4F3228A9" w14:textId="77777777" w:rsidR="00226190" w:rsidRPr="00226190" w:rsidRDefault="00226190" w:rsidP="00226190">
                  <w:pPr>
                    <w:jc w:val="center"/>
                    <w:rPr>
                      <w:rFonts w:ascii="Times New Roman" w:hAnsi="Times New Roman" w:cs="Times New Roman"/>
                      <w:vanish/>
                    </w:rPr>
                  </w:pPr>
                </w:p>
              </w:tc>
            </w:tr>
          </w:tbl>
          <w:p w14:paraId="31016B2B" w14:textId="77777777" w:rsidR="00226190" w:rsidRPr="00226190" w:rsidRDefault="00226190" w:rsidP="00226190">
            <w:pPr>
              <w:spacing w:after="160" w:line="278" w:lineRule="auto"/>
              <w:jc w:val="center"/>
              <w:rPr>
                <w:rFonts w:ascii="Times New Roman" w:hAnsi="Times New Roman" w:cs="Times New Roman"/>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265"/>
            </w:tblGrid>
            <w:tr w:rsidR="00226190" w:rsidRPr="00226190" w14:paraId="26FA7E16" w14:textId="77777777">
              <w:trPr>
                <w:tblCellSpacing w:w="15" w:type="dxa"/>
              </w:trPr>
              <w:tc>
                <w:tcPr>
                  <w:tcW w:w="0" w:type="auto"/>
                  <w:tcMar>
                    <w:top w:w="15" w:type="dxa"/>
                    <w:left w:w="15" w:type="dxa"/>
                    <w:bottom w:w="15" w:type="dxa"/>
                    <w:right w:w="15" w:type="dxa"/>
                  </w:tcMar>
                  <w:vAlign w:val="center"/>
                  <w:hideMark/>
                </w:tcPr>
                <w:p w14:paraId="1E791A81"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April – June 2026</w:t>
                  </w:r>
                </w:p>
              </w:tc>
            </w:tr>
          </w:tbl>
          <w:p w14:paraId="72C3E6CF"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57424183" w14:textId="77777777">
              <w:trPr>
                <w:tblCellSpacing w:w="15" w:type="dxa"/>
                <w:hidden/>
              </w:trPr>
              <w:tc>
                <w:tcPr>
                  <w:tcW w:w="0" w:type="auto"/>
                  <w:tcMar>
                    <w:top w:w="15" w:type="dxa"/>
                    <w:left w:w="15" w:type="dxa"/>
                    <w:bottom w:w="15" w:type="dxa"/>
                    <w:right w:w="15" w:type="dxa"/>
                  </w:tcMar>
                  <w:vAlign w:val="center"/>
                  <w:hideMark/>
                </w:tcPr>
                <w:p w14:paraId="607A84B7" w14:textId="77777777" w:rsidR="00226190" w:rsidRPr="00226190" w:rsidRDefault="00226190" w:rsidP="00226190">
                  <w:pPr>
                    <w:jc w:val="center"/>
                    <w:rPr>
                      <w:rFonts w:ascii="Times New Roman" w:hAnsi="Times New Roman" w:cs="Times New Roman"/>
                      <w:vanish/>
                    </w:rPr>
                  </w:pPr>
                </w:p>
              </w:tc>
            </w:tr>
          </w:tbl>
          <w:p w14:paraId="23D8210C" w14:textId="77777777" w:rsidR="00226190" w:rsidRPr="00226190" w:rsidRDefault="00226190" w:rsidP="00226190">
            <w:pPr>
              <w:spacing w:after="160" w:line="278" w:lineRule="auto"/>
              <w:jc w:val="center"/>
              <w:rPr>
                <w:rFonts w:ascii="Times New Roman" w:hAnsi="Times New Roman" w:cs="Times New Roman"/>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226190" w:rsidRPr="00226190" w14:paraId="6E3C82AA" w14:textId="77777777">
              <w:trPr>
                <w:tblCellSpacing w:w="15" w:type="dxa"/>
              </w:trPr>
              <w:tc>
                <w:tcPr>
                  <w:tcW w:w="0" w:type="auto"/>
                  <w:tcMar>
                    <w:top w:w="15" w:type="dxa"/>
                    <w:left w:w="15" w:type="dxa"/>
                    <w:bottom w:w="15" w:type="dxa"/>
                    <w:right w:w="15" w:type="dxa"/>
                  </w:tcMar>
                  <w:vAlign w:val="center"/>
                  <w:hideMark/>
                </w:tcPr>
                <w:p w14:paraId="357896C3"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Monthly compliance data recorded. Feedback provided to staff &lt; 90 % compliance. Recognition for ≥ 90 %.</w:t>
                  </w:r>
                </w:p>
              </w:tc>
            </w:tr>
          </w:tbl>
          <w:p w14:paraId="226DAD12"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4D1248F4" w14:textId="77777777">
              <w:trPr>
                <w:tblCellSpacing w:w="15" w:type="dxa"/>
                <w:hidden/>
              </w:trPr>
              <w:tc>
                <w:tcPr>
                  <w:tcW w:w="0" w:type="auto"/>
                  <w:tcMar>
                    <w:top w:w="15" w:type="dxa"/>
                    <w:left w:w="15" w:type="dxa"/>
                    <w:bottom w:w="15" w:type="dxa"/>
                    <w:right w:w="15" w:type="dxa"/>
                  </w:tcMar>
                  <w:vAlign w:val="center"/>
                  <w:hideMark/>
                </w:tcPr>
                <w:p w14:paraId="64954203" w14:textId="77777777" w:rsidR="00226190" w:rsidRPr="00226190" w:rsidRDefault="00226190" w:rsidP="00226190">
                  <w:pPr>
                    <w:jc w:val="center"/>
                    <w:rPr>
                      <w:rFonts w:ascii="Times New Roman" w:hAnsi="Times New Roman" w:cs="Times New Roman"/>
                      <w:vanish/>
                    </w:rPr>
                  </w:pPr>
                </w:p>
              </w:tc>
            </w:tr>
          </w:tbl>
          <w:p w14:paraId="518586A4" w14:textId="77777777" w:rsidR="00226190" w:rsidRPr="00226190" w:rsidRDefault="00226190" w:rsidP="00226190">
            <w:pPr>
              <w:spacing w:after="160" w:line="278" w:lineRule="auto"/>
              <w:jc w:val="center"/>
              <w:rPr>
                <w:rFonts w:ascii="Times New Roman" w:hAnsi="Times New Roman" w:cs="Times New Roman"/>
              </w:rPr>
            </w:pPr>
          </w:p>
        </w:tc>
      </w:tr>
      <w:tr w:rsidR="00226190" w:rsidRPr="00226190" w14:paraId="35CA16B7" w14:textId="77777777">
        <w:tc>
          <w:tcPr>
            <w:tcW w:w="2519" w:type="dxa"/>
            <w:tcBorders>
              <w:top w:val="single" w:sz="4" w:space="0" w:color="auto"/>
              <w:left w:val="single" w:sz="4" w:space="0" w:color="auto"/>
              <w:bottom w:val="single" w:sz="4" w:space="0" w:color="auto"/>
              <w:right w:val="single" w:sz="4" w:space="0" w:color="auto"/>
            </w:tcBorders>
            <w:hideMark/>
          </w:tcPr>
          <w:p w14:paraId="162903BA" w14:textId="77777777" w:rsidR="00226190" w:rsidRPr="00226190" w:rsidRDefault="00226190" w:rsidP="00226190">
            <w:pPr>
              <w:spacing w:after="160" w:line="278" w:lineRule="auto"/>
              <w:jc w:val="center"/>
              <w:rPr>
                <w:rFonts w:ascii="Times New Roman" w:hAnsi="Times New Roman" w:cs="Times New Roman"/>
              </w:rPr>
            </w:pPr>
            <w:r w:rsidRPr="00226190">
              <w:rPr>
                <w:rFonts w:ascii="Times New Roman" w:hAnsi="Times New Roman" w:cs="Times New Roman"/>
              </w:rPr>
              <w:t>Post Intervention</w:t>
            </w:r>
          </w:p>
          <w:p w14:paraId="3E80AFF7" w14:textId="77777777" w:rsidR="00226190" w:rsidRPr="00226190" w:rsidRDefault="00226190" w:rsidP="00226190">
            <w:pPr>
              <w:spacing w:after="160" w:line="278" w:lineRule="auto"/>
              <w:jc w:val="center"/>
              <w:rPr>
                <w:rFonts w:ascii="Times New Roman" w:hAnsi="Times New Roman" w:cs="Times New Roman"/>
              </w:rPr>
            </w:pPr>
            <w:r w:rsidRPr="00226190">
              <w:rPr>
                <w:rFonts w:ascii="Times New Roman" w:hAnsi="Times New Roman" w:cs="Times New Roman"/>
              </w:rPr>
              <w:t xml:space="preserve">Data Collection </w:t>
            </w: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226190" w:rsidRPr="00226190" w14:paraId="091399A9" w14:textId="77777777">
              <w:trPr>
                <w:tblCellSpacing w:w="15" w:type="dxa"/>
              </w:trPr>
              <w:tc>
                <w:tcPr>
                  <w:tcW w:w="0" w:type="auto"/>
                  <w:tcMar>
                    <w:top w:w="15" w:type="dxa"/>
                    <w:left w:w="15" w:type="dxa"/>
                    <w:bottom w:w="15" w:type="dxa"/>
                    <w:right w:w="15" w:type="dxa"/>
                  </w:tcMar>
                  <w:vAlign w:val="center"/>
                  <w:hideMark/>
                </w:tcPr>
                <w:p w14:paraId="69EB75D0"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Conduct final DCAT audit comparing baseline vs. post-implementation compliance and claim-denial data.</w:t>
                  </w:r>
                </w:p>
              </w:tc>
            </w:tr>
          </w:tbl>
          <w:p w14:paraId="4FFAADDA"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2F10D7B9" w14:textId="77777777">
              <w:trPr>
                <w:tblCellSpacing w:w="15" w:type="dxa"/>
                <w:hidden/>
              </w:trPr>
              <w:tc>
                <w:tcPr>
                  <w:tcW w:w="0" w:type="auto"/>
                  <w:tcMar>
                    <w:top w:w="15" w:type="dxa"/>
                    <w:left w:w="15" w:type="dxa"/>
                    <w:bottom w:w="15" w:type="dxa"/>
                    <w:right w:w="15" w:type="dxa"/>
                  </w:tcMar>
                  <w:vAlign w:val="center"/>
                  <w:hideMark/>
                </w:tcPr>
                <w:p w14:paraId="5EEC6CA5" w14:textId="77777777" w:rsidR="00226190" w:rsidRPr="00226190" w:rsidRDefault="00226190" w:rsidP="00226190">
                  <w:pPr>
                    <w:jc w:val="center"/>
                    <w:rPr>
                      <w:rFonts w:ascii="Times New Roman" w:hAnsi="Times New Roman" w:cs="Times New Roman"/>
                      <w:vanish/>
                    </w:rPr>
                  </w:pPr>
                </w:p>
              </w:tc>
            </w:tr>
          </w:tbl>
          <w:p w14:paraId="3430AF9F" w14:textId="77777777" w:rsidR="00226190" w:rsidRPr="00226190" w:rsidRDefault="00226190" w:rsidP="00226190">
            <w:pPr>
              <w:spacing w:after="160" w:line="278" w:lineRule="auto"/>
              <w:jc w:val="center"/>
              <w:rPr>
                <w:rFonts w:ascii="Times New Roman" w:hAnsi="Times New Roman" w:cs="Times New Roman"/>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031"/>
            </w:tblGrid>
            <w:tr w:rsidR="00226190" w:rsidRPr="00226190" w14:paraId="6346BFFF" w14:textId="77777777">
              <w:trPr>
                <w:tblCellSpacing w:w="15" w:type="dxa"/>
              </w:trPr>
              <w:tc>
                <w:tcPr>
                  <w:tcW w:w="0" w:type="auto"/>
                  <w:tcMar>
                    <w:top w:w="15" w:type="dxa"/>
                    <w:left w:w="15" w:type="dxa"/>
                    <w:bottom w:w="15" w:type="dxa"/>
                    <w:right w:w="15" w:type="dxa"/>
                  </w:tcMar>
                  <w:vAlign w:val="center"/>
                  <w:hideMark/>
                </w:tcPr>
                <w:p w14:paraId="4ACE3151"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July 2027</w:t>
                  </w:r>
                </w:p>
              </w:tc>
            </w:tr>
          </w:tbl>
          <w:p w14:paraId="2C409618"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36C96326" w14:textId="77777777">
              <w:trPr>
                <w:tblCellSpacing w:w="15" w:type="dxa"/>
                <w:hidden/>
              </w:trPr>
              <w:tc>
                <w:tcPr>
                  <w:tcW w:w="0" w:type="auto"/>
                  <w:tcMar>
                    <w:top w:w="15" w:type="dxa"/>
                    <w:left w:w="15" w:type="dxa"/>
                    <w:bottom w:w="15" w:type="dxa"/>
                    <w:right w:w="15" w:type="dxa"/>
                  </w:tcMar>
                  <w:vAlign w:val="center"/>
                  <w:hideMark/>
                </w:tcPr>
                <w:p w14:paraId="44CAE53E" w14:textId="77777777" w:rsidR="00226190" w:rsidRPr="00226190" w:rsidRDefault="00226190" w:rsidP="00226190">
                  <w:pPr>
                    <w:jc w:val="center"/>
                    <w:rPr>
                      <w:rFonts w:ascii="Times New Roman" w:hAnsi="Times New Roman" w:cs="Times New Roman"/>
                      <w:vanish/>
                    </w:rPr>
                  </w:pPr>
                </w:p>
              </w:tc>
            </w:tr>
          </w:tbl>
          <w:p w14:paraId="66ED8AA9" w14:textId="77777777" w:rsidR="00226190" w:rsidRPr="00226190" w:rsidRDefault="00226190" w:rsidP="00226190">
            <w:pPr>
              <w:spacing w:after="160" w:line="278" w:lineRule="auto"/>
              <w:jc w:val="center"/>
              <w:rPr>
                <w:rFonts w:ascii="Times New Roman" w:hAnsi="Times New Roman" w:cs="Times New Roman"/>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226190" w:rsidRPr="00226190" w14:paraId="494D33BA" w14:textId="77777777">
              <w:trPr>
                <w:tblCellSpacing w:w="15" w:type="dxa"/>
              </w:trPr>
              <w:tc>
                <w:tcPr>
                  <w:tcW w:w="0" w:type="auto"/>
                  <w:tcMar>
                    <w:top w:w="15" w:type="dxa"/>
                    <w:left w:w="15" w:type="dxa"/>
                    <w:bottom w:w="15" w:type="dxa"/>
                    <w:right w:w="15" w:type="dxa"/>
                  </w:tcMar>
                  <w:vAlign w:val="center"/>
                  <w:hideMark/>
                </w:tcPr>
                <w:p w14:paraId="41ED57C7"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Quantitative data compiled for outcome analysis. Evaluate sustainability of improvements over 12 months.</w:t>
                  </w:r>
                </w:p>
              </w:tc>
            </w:tr>
          </w:tbl>
          <w:p w14:paraId="31C63685"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07130AC0" w14:textId="77777777">
              <w:trPr>
                <w:tblCellSpacing w:w="15" w:type="dxa"/>
                <w:hidden/>
              </w:trPr>
              <w:tc>
                <w:tcPr>
                  <w:tcW w:w="0" w:type="auto"/>
                  <w:tcMar>
                    <w:top w:w="15" w:type="dxa"/>
                    <w:left w:w="15" w:type="dxa"/>
                    <w:bottom w:w="15" w:type="dxa"/>
                    <w:right w:w="15" w:type="dxa"/>
                  </w:tcMar>
                  <w:vAlign w:val="center"/>
                  <w:hideMark/>
                </w:tcPr>
                <w:p w14:paraId="1C265EE4" w14:textId="77777777" w:rsidR="00226190" w:rsidRPr="00226190" w:rsidRDefault="00226190" w:rsidP="00226190">
                  <w:pPr>
                    <w:jc w:val="center"/>
                    <w:rPr>
                      <w:rFonts w:ascii="Times New Roman" w:hAnsi="Times New Roman" w:cs="Times New Roman"/>
                      <w:vanish/>
                    </w:rPr>
                  </w:pPr>
                </w:p>
              </w:tc>
            </w:tr>
          </w:tbl>
          <w:p w14:paraId="00902AE4" w14:textId="77777777" w:rsidR="00226190" w:rsidRPr="00226190" w:rsidRDefault="00226190" w:rsidP="00226190">
            <w:pPr>
              <w:spacing w:after="160" w:line="278" w:lineRule="auto"/>
              <w:jc w:val="center"/>
              <w:rPr>
                <w:rFonts w:ascii="Times New Roman" w:hAnsi="Times New Roman" w:cs="Times New Roman"/>
              </w:rPr>
            </w:pPr>
          </w:p>
        </w:tc>
      </w:tr>
      <w:tr w:rsidR="00226190" w:rsidRPr="00226190" w14:paraId="478B115A" w14:textId="77777777">
        <w:tc>
          <w:tcPr>
            <w:tcW w:w="2519" w:type="dxa"/>
            <w:tcBorders>
              <w:top w:val="single" w:sz="4" w:space="0" w:color="auto"/>
              <w:left w:val="single" w:sz="4" w:space="0" w:color="auto"/>
              <w:bottom w:val="single" w:sz="4" w:space="0" w:color="auto"/>
              <w:right w:val="single" w:sz="4" w:space="0" w:color="auto"/>
            </w:tcBorders>
          </w:tcPr>
          <w:p w14:paraId="24D63291" w14:textId="77777777" w:rsidR="00226190" w:rsidRPr="00226190" w:rsidRDefault="00226190" w:rsidP="00226190">
            <w:pPr>
              <w:spacing w:after="160" w:line="278" w:lineRule="auto"/>
              <w:jc w:val="center"/>
              <w:rPr>
                <w:rFonts w:ascii="Times New Roman" w:hAnsi="Times New Roman" w:cs="Times New Roman"/>
              </w:rPr>
            </w:pPr>
          </w:p>
          <w:p w14:paraId="485E9993" w14:textId="77777777" w:rsidR="00226190" w:rsidRPr="00226190" w:rsidRDefault="00226190" w:rsidP="00226190">
            <w:pPr>
              <w:spacing w:after="160" w:line="278" w:lineRule="auto"/>
              <w:jc w:val="center"/>
              <w:rPr>
                <w:rFonts w:ascii="Times New Roman" w:hAnsi="Times New Roman" w:cs="Times New Roman"/>
              </w:rPr>
            </w:pPr>
          </w:p>
        </w:tc>
        <w:tc>
          <w:tcPr>
            <w:tcW w:w="2066"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850"/>
            </w:tblGrid>
            <w:tr w:rsidR="00226190" w:rsidRPr="00226190" w14:paraId="75C1AA6A" w14:textId="77777777">
              <w:trPr>
                <w:tblCellSpacing w:w="15" w:type="dxa"/>
              </w:trPr>
              <w:tc>
                <w:tcPr>
                  <w:tcW w:w="0" w:type="auto"/>
                  <w:tcMar>
                    <w:top w:w="15" w:type="dxa"/>
                    <w:left w:w="15" w:type="dxa"/>
                    <w:bottom w:w="15" w:type="dxa"/>
                    <w:right w:w="15" w:type="dxa"/>
                  </w:tcMar>
                  <w:vAlign w:val="center"/>
                  <w:hideMark/>
                </w:tcPr>
                <w:p w14:paraId="70367F61"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Gather qualitative feedback from staff satisfaction survey and leadership review.</w:t>
                  </w:r>
                </w:p>
              </w:tc>
            </w:tr>
          </w:tbl>
          <w:p w14:paraId="21B3A037"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05C74C35" w14:textId="77777777">
              <w:trPr>
                <w:tblCellSpacing w:w="15" w:type="dxa"/>
                <w:hidden/>
              </w:trPr>
              <w:tc>
                <w:tcPr>
                  <w:tcW w:w="0" w:type="auto"/>
                  <w:tcMar>
                    <w:top w:w="15" w:type="dxa"/>
                    <w:left w:w="15" w:type="dxa"/>
                    <w:bottom w:w="15" w:type="dxa"/>
                    <w:right w:w="15" w:type="dxa"/>
                  </w:tcMar>
                  <w:vAlign w:val="center"/>
                  <w:hideMark/>
                </w:tcPr>
                <w:p w14:paraId="031633A1" w14:textId="77777777" w:rsidR="00226190" w:rsidRPr="00226190" w:rsidRDefault="00226190" w:rsidP="00226190">
                  <w:pPr>
                    <w:jc w:val="center"/>
                    <w:rPr>
                      <w:rFonts w:ascii="Times New Roman" w:hAnsi="Times New Roman" w:cs="Times New Roman"/>
                      <w:vanish/>
                    </w:rPr>
                  </w:pPr>
                </w:p>
              </w:tc>
            </w:tr>
          </w:tbl>
          <w:p w14:paraId="49C340E2" w14:textId="77777777" w:rsidR="00226190" w:rsidRPr="00226190" w:rsidRDefault="00226190" w:rsidP="00226190">
            <w:pPr>
              <w:spacing w:after="160" w:line="278" w:lineRule="auto"/>
              <w:jc w:val="center"/>
              <w:rPr>
                <w:rFonts w:ascii="Times New Roman" w:hAnsi="Times New Roman" w:cs="Times New Roman"/>
              </w:rPr>
            </w:pPr>
          </w:p>
        </w:tc>
        <w:tc>
          <w:tcPr>
            <w:tcW w:w="1481"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1031"/>
            </w:tblGrid>
            <w:tr w:rsidR="00226190" w:rsidRPr="00226190" w14:paraId="39705EC4" w14:textId="77777777">
              <w:trPr>
                <w:tblCellSpacing w:w="15" w:type="dxa"/>
              </w:trPr>
              <w:tc>
                <w:tcPr>
                  <w:tcW w:w="0" w:type="auto"/>
                  <w:tcMar>
                    <w:top w:w="15" w:type="dxa"/>
                    <w:left w:w="15" w:type="dxa"/>
                    <w:bottom w:w="15" w:type="dxa"/>
                    <w:right w:w="15" w:type="dxa"/>
                  </w:tcMar>
                  <w:vAlign w:val="center"/>
                  <w:hideMark/>
                </w:tcPr>
                <w:p w14:paraId="629CEE57"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July 2027</w:t>
                  </w:r>
                </w:p>
              </w:tc>
            </w:tr>
          </w:tbl>
          <w:p w14:paraId="26F052E8"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36604939" w14:textId="77777777">
              <w:trPr>
                <w:tblCellSpacing w:w="15" w:type="dxa"/>
                <w:hidden/>
              </w:trPr>
              <w:tc>
                <w:tcPr>
                  <w:tcW w:w="0" w:type="auto"/>
                  <w:tcMar>
                    <w:top w:w="15" w:type="dxa"/>
                    <w:left w:w="15" w:type="dxa"/>
                    <w:bottom w:w="15" w:type="dxa"/>
                    <w:right w:w="15" w:type="dxa"/>
                  </w:tcMar>
                  <w:vAlign w:val="center"/>
                  <w:hideMark/>
                </w:tcPr>
                <w:p w14:paraId="6CA94F9E" w14:textId="77777777" w:rsidR="00226190" w:rsidRPr="00226190" w:rsidRDefault="00226190" w:rsidP="00226190">
                  <w:pPr>
                    <w:jc w:val="center"/>
                    <w:rPr>
                      <w:rFonts w:ascii="Times New Roman" w:hAnsi="Times New Roman" w:cs="Times New Roman"/>
                      <w:vanish/>
                    </w:rPr>
                  </w:pPr>
                </w:p>
              </w:tc>
            </w:tr>
          </w:tbl>
          <w:p w14:paraId="26E5EE0B" w14:textId="77777777" w:rsidR="00226190" w:rsidRPr="00226190" w:rsidRDefault="00226190" w:rsidP="00226190">
            <w:pPr>
              <w:spacing w:after="160" w:line="278" w:lineRule="auto"/>
              <w:jc w:val="center"/>
              <w:rPr>
                <w:rFonts w:ascii="Times New Roman" w:hAnsi="Times New Roman" w:cs="Times New Roman"/>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226190" w:rsidRPr="00226190" w14:paraId="71BA193C" w14:textId="77777777">
              <w:trPr>
                <w:tblCellSpacing w:w="15" w:type="dxa"/>
              </w:trPr>
              <w:tc>
                <w:tcPr>
                  <w:tcW w:w="0" w:type="auto"/>
                  <w:tcMar>
                    <w:top w:w="15" w:type="dxa"/>
                    <w:left w:w="15" w:type="dxa"/>
                    <w:bottom w:w="15" w:type="dxa"/>
                    <w:right w:w="15" w:type="dxa"/>
                  </w:tcMar>
                  <w:vAlign w:val="center"/>
                  <w:hideMark/>
                </w:tcPr>
                <w:p w14:paraId="5DE9E9C5"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Summarize staff perceptions of checklist usability and workflow efficiency.</w:t>
                  </w:r>
                </w:p>
              </w:tc>
            </w:tr>
          </w:tbl>
          <w:p w14:paraId="0B66F781"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78D7A9FF" w14:textId="77777777">
              <w:trPr>
                <w:tblCellSpacing w:w="15" w:type="dxa"/>
                <w:hidden/>
              </w:trPr>
              <w:tc>
                <w:tcPr>
                  <w:tcW w:w="0" w:type="auto"/>
                  <w:tcMar>
                    <w:top w:w="15" w:type="dxa"/>
                    <w:left w:w="15" w:type="dxa"/>
                    <w:bottom w:w="15" w:type="dxa"/>
                    <w:right w:w="15" w:type="dxa"/>
                  </w:tcMar>
                  <w:vAlign w:val="center"/>
                  <w:hideMark/>
                </w:tcPr>
                <w:p w14:paraId="0831C823" w14:textId="77777777" w:rsidR="00226190" w:rsidRPr="00226190" w:rsidRDefault="00226190" w:rsidP="00226190">
                  <w:pPr>
                    <w:jc w:val="center"/>
                    <w:rPr>
                      <w:rFonts w:ascii="Times New Roman" w:hAnsi="Times New Roman" w:cs="Times New Roman"/>
                      <w:vanish/>
                    </w:rPr>
                  </w:pPr>
                </w:p>
              </w:tc>
            </w:tr>
          </w:tbl>
          <w:p w14:paraId="04A1A030" w14:textId="77777777" w:rsidR="00226190" w:rsidRPr="00226190" w:rsidRDefault="00226190" w:rsidP="00226190">
            <w:pPr>
              <w:spacing w:after="160" w:line="278" w:lineRule="auto"/>
              <w:jc w:val="center"/>
              <w:rPr>
                <w:rFonts w:ascii="Times New Roman" w:hAnsi="Times New Roman" w:cs="Times New Roman"/>
              </w:rPr>
            </w:pPr>
          </w:p>
        </w:tc>
      </w:tr>
      <w:tr w:rsidR="00226190" w:rsidRPr="00226190" w14:paraId="629DC9C6" w14:textId="77777777">
        <w:tc>
          <w:tcPr>
            <w:tcW w:w="2519" w:type="dxa"/>
            <w:tcBorders>
              <w:top w:val="single" w:sz="4" w:space="0" w:color="auto"/>
              <w:left w:val="single" w:sz="4" w:space="0" w:color="auto"/>
              <w:bottom w:val="single" w:sz="4" w:space="0" w:color="auto"/>
              <w:right w:val="single" w:sz="4" w:space="0" w:color="auto"/>
            </w:tcBorders>
          </w:tcPr>
          <w:p w14:paraId="3D258136" w14:textId="77777777" w:rsidR="00226190" w:rsidRPr="00226190" w:rsidRDefault="00226190" w:rsidP="00226190">
            <w:pPr>
              <w:spacing w:after="160" w:line="278" w:lineRule="auto"/>
              <w:jc w:val="center"/>
              <w:rPr>
                <w:rFonts w:ascii="Times New Roman" w:hAnsi="Times New Roman" w:cs="Times New Roman"/>
                <w:b/>
                <w:bCs/>
              </w:rPr>
            </w:pPr>
            <w:r w:rsidRPr="00226190">
              <w:rPr>
                <w:rFonts w:ascii="Times New Roman" w:hAnsi="Times New Roman" w:cs="Times New Roman"/>
                <w:b/>
                <w:bCs/>
              </w:rPr>
              <w:t>Analysis and Dissemination Phase</w:t>
            </w:r>
          </w:p>
          <w:p w14:paraId="62DAD473" w14:textId="77777777" w:rsidR="00226190" w:rsidRPr="00226190" w:rsidRDefault="00226190" w:rsidP="00226190">
            <w:pPr>
              <w:spacing w:after="160" w:line="278" w:lineRule="auto"/>
              <w:jc w:val="center"/>
              <w:rPr>
                <w:rFonts w:ascii="Times New Roman" w:hAnsi="Times New Roman" w:cs="Times New Roman"/>
              </w:rPr>
            </w:pPr>
          </w:p>
        </w:tc>
        <w:tc>
          <w:tcPr>
            <w:tcW w:w="2066" w:type="dxa"/>
            <w:tcBorders>
              <w:top w:val="single" w:sz="4" w:space="0" w:color="auto"/>
              <w:left w:val="single" w:sz="4" w:space="0" w:color="auto"/>
              <w:bottom w:val="single" w:sz="4" w:space="0" w:color="auto"/>
              <w:right w:val="single" w:sz="4" w:space="0" w:color="auto"/>
            </w:tcBorders>
            <w:hideMark/>
          </w:tcPr>
          <w:p w14:paraId="001525D5" w14:textId="77777777" w:rsidR="00226190" w:rsidRPr="00226190" w:rsidRDefault="00226190" w:rsidP="00226190">
            <w:pPr>
              <w:spacing w:after="160" w:line="278" w:lineRule="auto"/>
              <w:jc w:val="center"/>
              <w:rPr>
                <w:rFonts w:ascii="Times New Roman" w:hAnsi="Times New Roman" w:cs="Times New Roman"/>
              </w:rPr>
            </w:pPr>
            <w:r w:rsidRPr="00226190">
              <w:rPr>
                <w:rFonts w:ascii="Times New Roman" w:hAnsi="Times New Roman" w:cs="Times New Roman"/>
              </w:rPr>
              <w:t xml:space="preserve">IBC 793 </w:t>
            </w:r>
          </w:p>
          <w:p w14:paraId="46591EFD" w14:textId="77777777" w:rsidR="00226190" w:rsidRPr="00226190" w:rsidRDefault="00226190" w:rsidP="00226190">
            <w:pPr>
              <w:spacing w:after="160" w:line="278" w:lineRule="auto"/>
              <w:jc w:val="center"/>
              <w:rPr>
                <w:rFonts w:ascii="Times New Roman" w:hAnsi="Times New Roman" w:cs="Times New Roman"/>
              </w:rPr>
            </w:pPr>
            <w:r w:rsidRPr="00226190">
              <w:rPr>
                <w:rFonts w:ascii="Times New Roman" w:hAnsi="Times New Roman" w:cs="Times New Roman"/>
              </w:rPr>
              <w:t>Applied Project 2 course</w:t>
            </w:r>
          </w:p>
        </w:tc>
        <w:tc>
          <w:tcPr>
            <w:tcW w:w="1481" w:type="dxa"/>
            <w:tcBorders>
              <w:top w:val="single" w:sz="4" w:space="0" w:color="auto"/>
              <w:left w:val="single" w:sz="4" w:space="0" w:color="auto"/>
              <w:bottom w:val="single" w:sz="4" w:space="0" w:color="auto"/>
              <w:right w:val="single" w:sz="4" w:space="0" w:color="auto"/>
            </w:tcBorders>
          </w:tcPr>
          <w:p w14:paraId="6406BC1B" w14:textId="77777777" w:rsidR="00226190" w:rsidRPr="00226190" w:rsidRDefault="00226190" w:rsidP="00226190">
            <w:pPr>
              <w:spacing w:after="160" w:line="278" w:lineRule="auto"/>
              <w:jc w:val="center"/>
              <w:rPr>
                <w:rFonts w:ascii="Times New Roman" w:hAnsi="Times New Roman" w:cs="Times New Roman"/>
              </w:rPr>
            </w:pPr>
            <w:r w:rsidRPr="00226190">
              <w:rPr>
                <w:rFonts w:ascii="Times New Roman" w:hAnsi="Times New Roman" w:cs="Times New Roman"/>
              </w:rPr>
              <w:t>List Term to be enrolled: Spring 2026</w:t>
            </w:r>
          </w:p>
          <w:p w14:paraId="716B4A5F" w14:textId="77777777" w:rsidR="00226190" w:rsidRPr="00226190" w:rsidRDefault="00226190" w:rsidP="00226190">
            <w:pPr>
              <w:spacing w:after="160" w:line="278" w:lineRule="auto"/>
              <w:jc w:val="center"/>
              <w:rPr>
                <w:rFonts w:ascii="Times New Roman" w:hAnsi="Times New Roman" w:cs="Times New Roman"/>
              </w:rPr>
            </w:pPr>
          </w:p>
          <w:p w14:paraId="3C11144D" w14:textId="77777777" w:rsidR="00226190" w:rsidRPr="00226190" w:rsidRDefault="00226190" w:rsidP="00226190">
            <w:pPr>
              <w:spacing w:after="160" w:line="278" w:lineRule="auto"/>
              <w:jc w:val="center"/>
              <w:rPr>
                <w:rFonts w:ascii="Times New Roman" w:hAnsi="Times New Roman" w:cs="Times New Roman"/>
              </w:rPr>
            </w:pPr>
          </w:p>
        </w:tc>
        <w:tc>
          <w:tcPr>
            <w:tcW w:w="4459"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4243"/>
            </w:tblGrid>
            <w:tr w:rsidR="00226190" w:rsidRPr="00226190" w14:paraId="404046C1" w14:textId="77777777">
              <w:trPr>
                <w:tblCellSpacing w:w="15" w:type="dxa"/>
              </w:trPr>
              <w:tc>
                <w:tcPr>
                  <w:tcW w:w="0" w:type="auto"/>
                  <w:tcMar>
                    <w:top w:w="15" w:type="dxa"/>
                    <w:left w:w="15" w:type="dxa"/>
                    <w:bottom w:w="15" w:type="dxa"/>
                    <w:right w:w="15" w:type="dxa"/>
                  </w:tcMar>
                  <w:vAlign w:val="center"/>
                  <w:hideMark/>
                </w:tcPr>
                <w:p w14:paraId="76449620" w14:textId="77777777" w:rsidR="00226190" w:rsidRPr="00226190" w:rsidRDefault="00226190" w:rsidP="00226190">
                  <w:pPr>
                    <w:jc w:val="center"/>
                    <w:rPr>
                      <w:rFonts w:ascii="Times New Roman" w:hAnsi="Times New Roman" w:cs="Times New Roman"/>
                    </w:rPr>
                  </w:pPr>
                  <w:r w:rsidRPr="00226190">
                    <w:rPr>
                      <w:rFonts w:ascii="Times New Roman" w:hAnsi="Times New Roman" w:cs="Times New Roman"/>
                    </w:rPr>
                    <w:t>Analyze all data using descriptive statistics and run-chart comparisons to demonstrate improvement trends. Draft final Applied Project paper and poster presentation for ASU submission.</w:t>
                  </w:r>
                </w:p>
              </w:tc>
            </w:tr>
          </w:tbl>
          <w:p w14:paraId="7CE74123" w14:textId="77777777" w:rsidR="00226190" w:rsidRPr="00226190" w:rsidRDefault="00226190" w:rsidP="00226190">
            <w:pPr>
              <w:spacing w:after="160" w:line="278" w:lineRule="auto"/>
              <w:jc w:val="center"/>
              <w:rPr>
                <w:rFonts w:ascii="Times New Roman" w:hAnsi="Times New Roman" w:cs="Times New Roman"/>
                <w:vanish/>
              </w:rPr>
            </w:pPr>
          </w:p>
          <w:tbl>
            <w:tblPr>
              <w:tblW w:w="0" w:type="auto"/>
              <w:tblCellSpacing w:w="15" w:type="dxa"/>
              <w:tblLook w:val="04A0" w:firstRow="1" w:lastRow="0" w:firstColumn="1" w:lastColumn="0" w:noHBand="0" w:noVBand="1"/>
            </w:tblPr>
            <w:tblGrid>
              <w:gridCol w:w="96"/>
            </w:tblGrid>
            <w:tr w:rsidR="00226190" w:rsidRPr="00226190" w14:paraId="702C485B" w14:textId="77777777">
              <w:trPr>
                <w:tblCellSpacing w:w="15" w:type="dxa"/>
                <w:hidden/>
              </w:trPr>
              <w:tc>
                <w:tcPr>
                  <w:tcW w:w="0" w:type="auto"/>
                  <w:tcMar>
                    <w:top w:w="15" w:type="dxa"/>
                    <w:left w:w="15" w:type="dxa"/>
                    <w:bottom w:w="15" w:type="dxa"/>
                    <w:right w:w="15" w:type="dxa"/>
                  </w:tcMar>
                  <w:vAlign w:val="center"/>
                  <w:hideMark/>
                </w:tcPr>
                <w:p w14:paraId="4EBAD28D" w14:textId="77777777" w:rsidR="00226190" w:rsidRPr="00226190" w:rsidRDefault="00226190" w:rsidP="00226190">
                  <w:pPr>
                    <w:jc w:val="center"/>
                    <w:rPr>
                      <w:rFonts w:ascii="Times New Roman" w:hAnsi="Times New Roman" w:cs="Times New Roman"/>
                      <w:vanish/>
                    </w:rPr>
                  </w:pPr>
                </w:p>
              </w:tc>
            </w:tr>
          </w:tbl>
          <w:p w14:paraId="6DE0C2CB" w14:textId="77777777" w:rsidR="00226190" w:rsidRPr="00226190" w:rsidRDefault="00226190" w:rsidP="00226190">
            <w:pPr>
              <w:spacing w:after="160" w:line="278" w:lineRule="auto"/>
              <w:jc w:val="center"/>
              <w:rPr>
                <w:rFonts w:ascii="Times New Roman" w:hAnsi="Times New Roman" w:cs="Times New Roman"/>
              </w:rPr>
            </w:pPr>
          </w:p>
        </w:tc>
      </w:tr>
      <w:tr w:rsidR="00226190" w:rsidRPr="00226190" w14:paraId="4B6BAC47" w14:textId="77777777">
        <w:tc>
          <w:tcPr>
            <w:tcW w:w="2519" w:type="dxa"/>
            <w:tcBorders>
              <w:top w:val="single" w:sz="4" w:space="0" w:color="auto"/>
              <w:left w:val="single" w:sz="4" w:space="0" w:color="auto"/>
              <w:bottom w:val="single" w:sz="4" w:space="0" w:color="auto"/>
              <w:right w:val="single" w:sz="4" w:space="0" w:color="auto"/>
            </w:tcBorders>
            <w:hideMark/>
          </w:tcPr>
          <w:p w14:paraId="5A529DA6" w14:textId="77777777" w:rsidR="00226190" w:rsidRPr="00226190" w:rsidRDefault="00226190" w:rsidP="00226190">
            <w:pPr>
              <w:spacing w:after="160" w:line="278" w:lineRule="auto"/>
              <w:jc w:val="center"/>
              <w:rPr>
                <w:rFonts w:ascii="Times New Roman" w:hAnsi="Times New Roman" w:cs="Times New Roman"/>
                <w:b/>
                <w:bCs/>
              </w:rPr>
            </w:pPr>
            <w:r w:rsidRPr="00226190">
              <w:rPr>
                <w:rFonts w:ascii="Times New Roman" w:hAnsi="Times New Roman" w:cs="Times New Roman"/>
                <w:b/>
                <w:bCs/>
              </w:rPr>
              <w:t>Potential Dissemination Plans</w:t>
            </w:r>
          </w:p>
        </w:tc>
        <w:tc>
          <w:tcPr>
            <w:tcW w:w="2066" w:type="dxa"/>
            <w:tcBorders>
              <w:top w:val="single" w:sz="4" w:space="0" w:color="auto"/>
              <w:left w:val="single" w:sz="4" w:space="0" w:color="auto"/>
              <w:bottom w:val="single" w:sz="4" w:space="0" w:color="auto"/>
              <w:right w:val="single" w:sz="4" w:space="0" w:color="auto"/>
            </w:tcBorders>
          </w:tcPr>
          <w:p w14:paraId="2E76D8A6" w14:textId="77777777" w:rsidR="00226190" w:rsidRPr="00226190" w:rsidRDefault="00226190" w:rsidP="00226190">
            <w:pPr>
              <w:spacing w:after="160" w:line="278" w:lineRule="auto"/>
              <w:jc w:val="center"/>
              <w:rPr>
                <w:rFonts w:ascii="Times New Roman" w:hAnsi="Times New Roman" w:cs="Times New Roman"/>
              </w:rPr>
            </w:pPr>
          </w:p>
        </w:tc>
        <w:tc>
          <w:tcPr>
            <w:tcW w:w="1481" w:type="dxa"/>
            <w:tcBorders>
              <w:top w:val="single" w:sz="4" w:space="0" w:color="auto"/>
              <w:left w:val="single" w:sz="4" w:space="0" w:color="auto"/>
              <w:bottom w:val="single" w:sz="4" w:space="0" w:color="auto"/>
              <w:right w:val="single" w:sz="4" w:space="0" w:color="auto"/>
            </w:tcBorders>
            <w:hideMark/>
          </w:tcPr>
          <w:p w14:paraId="20622F00" w14:textId="77777777" w:rsidR="00226190" w:rsidRPr="00226190" w:rsidRDefault="00226190" w:rsidP="00226190">
            <w:pPr>
              <w:spacing w:after="160" w:line="278" w:lineRule="auto"/>
              <w:jc w:val="center"/>
              <w:rPr>
                <w:rFonts w:ascii="Times New Roman" w:hAnsi="Times New Roman" w:cs="Times New Roman"/>
              </w:rPr>
            </w:pPr>
            <w:r w:rsidRPr="00226190">
              <w:rPr>
                <w:rFonts w:ascii="Times New Roman" w:hAnsi="Times New Roman" w:cs="Times New Roman"/>
              </w:rPr>
              <w:t>Spring-Summer</w:t>
            </w:r>
          </w:p>
          <w:p w14:paraId="71B1CC8B" w14:textId="77777777" w:rsidR="00226190" w:rsidRPr="00226190" w:rsidRDefault="00226190" w:rsidP="00226190">
            <w:pPr>
              <w:spacing w:after="160" w:line="278" w:lineRule="auto"/>
              <w:jc w:val="center"/>
              <w:rPr>
                <w:rFonts w:ascii="Times New Roman" w:hAnsi="Times New Roman" w:cs="Times New Roman"/>
              </w:rPr>
            </w:pPr>
            <w:r w:rsidRPr="00226190">
              <w:rPr>
                <w:rFonts w:ascii="Times New Roman" w:hAnsi="Times New Roman" w:cs="Times New Roman"/>
              </w:rPr>
              <w:t>2026</w:t>
            </w:r>
          </w:p>
        </w:tc>
        <w:tc>
          <w:tcPr>
            <w:tcW w:w="4459" w:type="dxa"/>
            <w:tcBorders>
              <w:top w:val="single" w:sz="4" w:space="0" w:color="auto"/>
              <w:left w:val="single" w:sz="4" w:space="0" w:color="auto"/>
              <w:bottom w:val="single" w:sz="4" w:space="0" w:color="auto"/>
              <w:right w:val="single" w:sz="4" w:space="0" w:color="auto"/>
            </w:tcBorders>
          </w:tcPr>
          <w:p w14:paraId="4D00DD84" w14:textId="77777777" w:rsidR="00226190" w:rsidRPr="00226190" w:rsidRDefault="00226190" w:rsidP="00226190">
            <w:pPr>
              <w:spacing w:after="160" w:line="278" w:lineRule="auto"/>
              <w:jc w:val="center"/>
              <w:rPr>
                <w:rFonts w:ascii="Times New Roman" w:hAnsi="Times New Roman" w:cs="Times New Roman"/>
              </w:rPr>
            </w:pPr>
            <w:r w:rsidRPr="00226190">
              <w:rPr>
                <w:rFonts w:ascii="Times New Roman" w:hAnsi="Times New Roman" w:cs="Times New Roman"/>
              </w:rPr>
              <w:t>The Billing Specialist and Clinical Director will review the final outcomes with leadership to identify additional payer compliance opportunities, refine documentation workflows, and establish audit benchmarks for the next fiscal year.</w:t>
            </w:r>
          </w:p>
          <w:p w14:paraId="353EF5E2" w14:textId="77777777" w:rsidR="00226190" w:rsidRPr="00226190" w:rsidRDefault="00226190" w:rsidP="00226190">
            <w:pPr>
              <w:spacing w:after="160" w:line="278" w:lineRule="auto"/>
              <w:jc w:val="center"/>
              <w:rPr>
                <w:rFonts w:ascii="Times New Roman" w:hAnsi="Times New Roman" w:cs="Times New Roman"/>
              </w:rPr>
            </w:pPr>
          </w:p>
        </w:tc>
      </w:tr>
    </w:tbl>
    <w:p w14:paraId="7CBCFD13" w14:textId="77777777" w:rsidR="00226190" w:rsidRPr="00226190" w:rsidRDefault="00226190" w:rsidP="00226190">
      <w:pPr>
        <w:jc w:val="center"/>
        <w:rPr>
          <w:rFonts w:ascii="Times New Roman" w:hAnsi="Times New Roman" w:cs="Times New Roman"/>
        </w:rPr>
      </w:pPr>
    </w:p>
    <w:p w14:paraId="16F622E0" w14:textId="77777777" w:rsidR="00226190" w:rsidRPr="00F04DDE" w:rsidRDefault="00226190" w:rsidP="00226190">
      <w:pPr>
        <w:jc w:val="center"/>
        <w:rPr>
          <w:rFonts w:ascii="Times New Roman" w:hAnsi="Times New Roman" w:cs="Times New Roman"/>
        </w:rPr>
      </w:pPr>
    </w:p>
    <w:sectPr w:rsidR="00226190" w:rsidRPr="00F04DDE">
      <w:headerReference w:type="default" r:id="rId32"/>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D7929" w14:textId="77777777" w:rsidR="00740263" w:rsidRDefault="00740263" w:rsidP="00DD4520">
      <w:pPr>
        <w:spacing w:after="0" w:line="240" w:lineRule="auto"/>
      </w:pPr>
      <w:r>
        <w:separator/>
      </w:r>
    </w:p>
  </w:endnote>
  <w:endnote w:type="continuationSeparator" w:id="0">
    <w:p w14:paraId="011ACFD6" w14:textId="77777777" w:rsidR="00740263" w:rsidRDefault="00740263" w:rsidP="00DD4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2236153"/>
      <w:docPartObj>
        <w:docPartGallery w:val="Page Numbers (Bottom of Page)"/>
        <w:docPartUnique/>
      </w:docPartObj>
    </w:sdtPr>
    <w:sdtEndPr>
      <w:rPr>
        <w:noProof/>
      </w:rPr>
    </w:sdtEndPr>
    <w:sdtContent>
      <w:p w14:paraId="183E1C6B" w14:textId="5170B8B8" w:rsidR="00990078" w:rsidRDefault="009900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DB7675" w14:textId="77777777" w:rsidR="00990078" w:rsidRDefault="009900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84003" w14:textId="77777777" w:rsidR="00740263" w:rsidRDefault="00740263" w:rsidP="00DD4520">
      <w:pPr>
        <w:spacing w:after="0" w:line="240" w:lineRule="auto"/>
      </w:pPr>
      <w:r>
        <w:separator/>
      </w:r>
    </w:p>
  </w:footnote>
  <w:footnote w:type="continuationSeparator" w:id="0">
    <w:p w14:paraId="42D547B5" w14:textId="77777777" w:rsidR="00740263" w:rsidRDefault="00740263" w:rsidP="00DD4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321396"/>
      <w:docPartObj>
        <w:docPartGallery w:val="Page Numbers (Top of Page)"/>
        <w:docPartUnique/>
      </w:docPartObj>
    </w:sdtPr>
    <w:sdtEndPr>
      <w:rPr>
        <w:rFonts w:ascii="Times New Roman" w:hAnsi="Times New Roman" w:cs="Times New Roman"/>
        <w:noProof/>
      </w:rPr>
    </w:sdtEndPr>
    <w:sdtContent>
      <w:p w14:paraId="4CA2B792" w14:textId="41E36610" w:rsidR="00990078" w:rsidRDefault="00DD4520" w:rsidP="00DD4520">
        <w:pPr>
          <w:pStyle w:val="Header"/>
          <w:jc w:val="right"/>
          <w:rPr>
            <w:rFonts w:ascii="Times New Roman" w:hAnsi="Times New Roman" w:cs="Times New Roman"/>
          </w:rPr>
        </w:pPr>
        <w:r>
          <w:rPr>
            <w:rFonts w:ascii="Times New Roman" w:hAnsi="Times New Roman" w:cs="Times New Roman"/>
          </w:rPr>
          <w:t xml:space="preserve"> </w:t>
        </w:r>
      </w:p>
      <w:p w14:paraId="5C9E570C" w14:textId="2B433706" w:rsidR="00DD4520" w:rsidRPr="00DD4520" w:rsidRDefault="00000000" w:rsidP="00DD4520">
        <w:pPr>
          <w:pStyle w:val="Header"/>
          <w:jc w:val="right"/>
          <w:rPr>
            <w:rFonts w:ascii="Times New Roman" w:hAnsi="Times New Roman" w:cs="Times New Roman"/>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5E4D"/>
    <w:multiLevelType w:val="multilevel"/>
    <w:tmpl w:val="CF9C1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659A9"/>
    <w:multiLevelType w:val="multilevel"/>
    <w:tmpl w:val="FE464E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6C67C6"/>
    <w:multiLevelType w:val="multilevel"/>
    <w:tmpl w:val="A6F8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731C2E"/>
    <w:multiLevelType w:val="multilevel"/>
    <w:tmpl w:val="92265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EC19A9"/>
    <w:multiLevelType w:val="multilevel"/>
    <w:tmpl w:val="50BCC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D15AA7"/>
    <w:multiLevelType w:val="hybridMultilevel"/>
    <w:tmpl w:val="2698E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33279E"/>
    <w:multiLevelType w:val="multilevel"/>
    <w:tmpl w:val="41F25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5A65F6"/>
    <w:multiLevelType w:val="multilevel"/>
    <w:tmpl w:val="98FA5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925EE0"/>
    <w:multiLevelType w:val="multilevel"/>
    <w:tmpl w:val="F626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8188517">
    <w:abstractNumId w:val="1"/>
  </w:num>
  <w:num w:numId="2" w16cid:durableId="1213611058">
    <w:abstractNumId w:val="2"/>
  </w:num>
  <w:num w:numId="3" w16cid:durableId="1880818343">
    <w:abstractNumId w:val="0"/>
  </w:num>
  <w:num w:numId="4" w16cid:durableId="1167131693">
    <w:abstractNumId w:val="6"/>
  </w:num>
  <w:num w:numId="5" w16cid:durableId="771509056">
    <w:abstractNumId w:val="4"/>
  </w:num>
  <w:num w:numId="6" w16cid:durableId="1908419970">
    <w:abstractNumId w:val="3"/>
  </w:num>
  <w:num w:numId="7" w16cid:durableId="2059938979">
    <w:abstractNumId w:val="8"/>
  </w:num>
  <w:num w:numId="8" w16cid:durableId="121852477">
    <w:abstractNumId w:val="7"/>
  </w:num>
  <w:num w:numId="9" w16cid:durableId="274182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520"/>
    <w:rsid w:val="001E7A9E"/>
    <w:rsid w:val="00226190"/>
    <w:rsid w:val="002474D0"/>
    <w:rsid w:val="003D515F"/>
    <w:rsid w:val="004C0B56"/>
    <w:rsid w:val="00511392"/>
    <w:rsid w:val="007368DB"/>
    <w:rsid w:val="00740263"/>
    <w:rsid w:val="007B1473"/>
    <w:rsid w:val="00801D4B"/>
    <w:rsid w:val="0088251F"/>
    <w:rsid w:val="008D756E"/>
    <w:rsid w:val="008E40D1"/>
    <w:rsid w:val="00982BD6"/>
    <w:rsid w:val="00990078"/>
    <w:rsid w:val="00992C40"/>
    <w:rsid w:val="00AB4806"/>
    <w:rsid w:val="00AD7489"/>
    <w:rsid w:val="00B97ED8"/>
    <w:rsid w:val="00BD3DE6"/>
    <w:rsid w:val="00C03130"/>
    <w:rsid w:val="00C210C2"/>
    <w:rsid w:val="00C82A8E"/>
    <w:rsid w:val="00C9266B"/>
    <w:rsid w:val="00D31089"/>
    <w:rsid w:val="00D53CC6"/>
    <w:rsid w:val="00D77474"/>
    <w:rsid w:val="00DD4520"/>
    <w:rsid w:val="00DF487E"/>
    <w:rsid w:val="00E154F5"/>
    <w:rsid w:val="00E82098"/>
    <w:rsid w:val="00EC64EF"/>
    <w:rsid w:val="00F00586"/>
    <w:rsid w:val="00F04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7BB64"/>
  <w15:chartTrackingRefBased/>
  <w15:docId w15:val="{8F8C9BFF-497D-444F-9D78-206B77E68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45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D45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D45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D45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45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45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45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5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5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5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D45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45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45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45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45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5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5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520"/>
    <w:rPr>
      <w:rFonts w:eastAsiaTheme="majorEastAsia" w:cstheme="majorBidi"/>
      <w:color w:val="272727" w:themeColor="text1" w:themeTint="D8"/>
    </w:rPr>
  </w:style>
  <w:style w:type="paragraph" w:styleId="Title">
    <w:name w:val="Title"/>
    <w:basedOn w:val="Normal"/>
    <w:next w:val="Normal"/>
    <w:link w:val="TitleChar"/>
    <w:uiPriority w:val="10"/>
    <w:qFormat/>
    <w:rsid w:val="00DD45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5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5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5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520"/>
    <w:pPr>
      <w:spacing w:before="160"/>
      <w:jc w:val="center"/>
    </w:pPr>
    <w:rPr>
      <w:i/>
      <w:iCs/>
      <w:color w:val="404040" w:themeColor="text1" w:themeTint="BF"/>
    </w:rPr>
  </w:style>
  <w:style w:type="character" w:customStyle="1" w:styleId="QuoteChar">
    <w:name w:val="Quote Char"/>
    <w:basedOn w:val="DefaultParagraphFont"/>
    <w:link w:val="Quote"/>
    <w:uiPriority w:val="29"/>
    <w:rsid w:val="00DD4520"/>
    <w:rPr>
      <w:i/>
      <w:iCs/>
      <w:color w:val="404040" w:themeColor="text1" w:themeTint="BF"/>
    </w:rPr>
  </w:style>
  <w:style w:type="paragraph" w:styleId="ListParagraph">
    <w:name w:val="List Paragraph"/>
    <w:basedOn w:val="Normal"/>
    <w:uiPriority w:val="34"/>
    <w:qFormat/>
    <w:rsid w:val="00DD4520"/>
    <w:pPr>
      <w:ind w:left="720"/>
      <w:contextualSpacing/>
    </w:pPr>
  </w:style>
  <w:style w:type="character" w:styleId="IntenseEmphasis">
    <w:name w:val="Intense Emphasis"/>
    <w:basedOn w:val="DefaultParagraphFont"/>
    <w:uiPriority w:val="21"/>
    <w:qFormat/>
    <w:rsid w:val="00DD4520"/>
    <w:rPr>
      <w:i/>
      <w:iCs/>
      <w:color w:val="0F4761" w:themeColor="accent1" w:themeShade="BF"/>
    </w:rPr>
  </w:style>
  <w:style w:type="paragraph" w:styleId="IntenseQuote">
    <w:name w:val="Intense Quote"/>
    <w:basedOn w:val="Normal"/>
    <w:next w:val="Normal"/>
    <w:link w:val="IntenseQuoteChar"/>
    <w:uiPriority w:val="30"/>
    <w:qFormat/>
    <w:rsid w:val="00DD45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4520"/>
    <w:rPr>
      <w:i/>
      <w:iCs/>
      <w:color w:val="0F4761" w:themeColor="accent1" w:themeShade="BF"/>
    </w:rPr>
  </w:style>
  <w:style w:type="character" w:styleId="IntenseReference">
    <w:name w:val="Intense Reference"/>
    <w:basedOn w:val="DefaultParagraphFont"/>
    <w:uiPriority w:val="32"/>
    <w:qFormat/>
    <w:rsid w:val="00DD4520"/>
    <w:rPr>
      <w:b/>
      <w:bCs/>
      <w:smallCaps/>
      <w:color w:val="0F4761" w:themeColor="accent1" w:themeShade="BF"/>
      <w:spacing w:val="5"/>
    </w:rPr>
  </w:style>
  <w:style w:type="paragraph" w:styleId="Header">
    <w:name w:val="header"/>
    <w:basedOn w:val="Normal"/>
    <w:link w:val="HeaderChar"/>
    <w:uiPriority w:val="99"/>
    <w:unhideWhenUsed/>
    <w:rsid w:val="00DD4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520"/>
  </w:style>
  <w:style w:type="paragraph" w:styleId="Footer">
    <w:name w:val="footer"/>
    <w:basedOn w:val="Normal"/>
    <w:link w:val="FooterChar"/>
    <w:uiPriority w:val="99"/>
    <w:unhideWhenUsed/>
    <w:rsid w:val="00DD4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520"/>
  </w:style>
  <w:style w:type="table" w:styleId="TableGrid">
    <w:name w:val="Table Grid"/>
    <w:basedOn w:val="TableNormal"/>
    <w:uiPriority w:val="39"/>
    <w:rsid w:val="00BD3DE6"/>
    <w:pPr>
      <w:spacing w:after="0" w:line="240" w:lineRule="auto"/>
    </w:pPr>
    <w:rPr>
      <w:rFonts w:ascii="Arial" w:eastAsia="Arial" w:hAnsi="Arial" w:cs="Arial"/>
      <w:kern w:val="0"/>
      <w:sz w:val="22"/>
      <w:szCs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7474"/>
    <w:rPr>
      <w:color w:val="467886" w:themeColor="hyperlink"/>
      <w:u w:val="single"/>
    </w:rPr>
  </w:style>
  <w:style w:type="character" w:styleId="UnresolvedMention">
    <w:name w:val="Unresolved Mention"/>
    <w:basedOn w:val="DefaultParagraphFont"/>
    <w:uiPriority w:val="99"/>
    <w:semiHidden/>
    <w:unhideWhenUsed/>
    <w:rsid w:val="00D77474"/>
    <w:rPr>
      <w:color w:val="605E5C"/>
      <w:shd w:val="clear" w:color="auto" w:fill="E1DFDD"/>
    </w:rPr>
  </w:style>
  <w:style w:type="character" w:styleId="FollowedHyperlink">
    <w:name w:val="FollowedHyperlink"/>
    <w:basedOn w:val="DefaultParagraphFont"/>
    <w:uiPriority w:val="99"/>
    <w:semiHidden/>
    <w:unhideWhenUsed/>
    <w:rsid w:val="00D77474"/>
    <w:rPr>
      <w:color w:val="96607D" w:themeColor="followedHyperlink"/>
      <w:u w:val="single"/>
    </w:rPr>
  </w:style>
  <w:style w:type="paragraph" w:styleId="TOCHeading">
    <w:name w:val="TOC Heading"/>
    <w:basedOn w:val="Heading1"/>
    <w:next w:val="Normal"/>
    <w:uiPriority w:val="39"/>
    <w:unhideWhenUsed/>
    <w:qFormat/>
    <w:rsid w:val="00982BD6"/>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982BD6"/>
    <w:pPr>
      <w:spacing w:after="100"/>
      <w:ind w:left="240"/>
    </w:pPr>
  </w:style>
  <w:style w:type="paragraph" w:styleId="TOC3">
    <w:name w:val="toc 3"/>
    <w:basedOn w:val="Normal"/>
    <w:next w:val="Normal"/>
    <w:autoRedefine/>
    <w:uiPriority w:val="39"/>
    <w:unhideWhenUsed/>
    <w:rsid w:val="00982BD6"/>
    <w:pPr>
      <w:spacing w:after="100"/>
      <w:ind w:left="480"/>
    </w:pPr>
  </w:style>
  <w:style w:type="paragraph" w:styleId="TOC1">
    <w:name w:val="toc 1"/>
    <w:basedOn w:val="Normal"/>
    <w:next w:val="Normal"/>
    <w:autoRedefine/>
    <w:uiPriority w:val="39"/>
    <w:unhideWhenUsed/>
    <w:rsid w:val="00982BD6"/>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ms.gov/newsroom/fact-sheets/improper-payments-fact-sheet" TargetMode="External"/><Relationship Id="rId18" Type="http://schemas.openxmlformats.org/officeDocument/2006/relationships/hyperlink" Target="https://doi.org/10.1111/1475-6773.14123" TargetMode="External"/><Relationship Id="rId26" Type="http://schemas.openxmlformats.org/officeDocument/2006/relationships/hyperlink" Target="https://doi.org/10.1007/s11606-019-05271-4" TargetMode="External"/><Relationship Id="rId3" Type="http://schemas.openxmlformats.org/officeDocument/2006/relationships/styles" Target="styles.xml"/><Relationship Id="rId21" Type="http://schemas.openxmlformats.org/officeDocument/2006/relationships/hyperlink" Target="https://doi.org/10.1007/s40617-023-00877-y"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ms.gov/medicare-medicaid-coordination/fraud-prevention/medicaid-integrity-program/education/resource-library/documentation-matters-fact-sheet-behavioral-health-practitioners" TargetMode="External"/><Relationship Id="rId17" Type="http://schemas.openxmlformats.org/officeDocument/2006/relationships/hyperlink" Target="https://doi.org/10.1056/NEJMsa0810119" TargetMode="External"/><Relationship Id="rId25" Type="http://schemas.openxmlformats.org/officeDocument/2006/relationships/hyperlink" Target="https://doi.org/10.1001/jamanetworkopen.2024.57300"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1186/s12913-025-12569-0" TargetMode="External"/><Relationship Id="rId20" Type="http://schemas.openxmlformats.org/officeDocument/2006/relationships/hyperlink" Target="https://doi.org/10.1093/intqhc/mzaf062" TargetMode="External"/><Relationship Id="rId29" Type="http://schemas.openxmlformats.org/officeDocument/2006/relationships/hyperlink" Target="https://dissemination-implementation.org/models/transcreation-framework-for-community-engaged-behavioral-interventions-to-reduce-health-disparit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1/jama.2016.3463" TargetMode="External"/><Relationship Id="rId24" Type="http://schemas.openxmlformats.org/officeDocument/2006/relationships/hyperlink" Target="https://doi.org/10.1097/JHM-D-21-00045"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1001/jamasurg.2023.5400" TargetMode="External"/><Relationship Id="rId23" Type="http://schemas.openxmlformats.org/officeDocument/2006/relationships/hyperlink" Target="https://doi.org/10.1371/journal.pdig.0001015" TargetMode="External"/><Relationship Id="rId28" Type="http://schemas.openxmlformats.org/officeDocument/2006/relationships/hyperlink" Target="https://doi.org/10.1136/bmjqs-2012-001797" TargetMode="External"/><Relationship Id="rId10" Type="http://schemas.openxmlformats.org/officeDocument/2006/relationships/hyperlink" Target="https://doi.org/10.1177/23779608221075165" TargetMode="External"/><Relationship Id="rId19" Type="http://schemas.openxmlformats.org/officeDocument/2006/relationships/hyperlink" Target="https://www.ihi.org/resources/Pages/Tools/PlanDoStudyActWorksheet.aspx" TargetMode="External"/><Relationship Id="rId31" Type="http://schemas.openxmlformats.org/officeDocument/2006/relationships/hyperlink" Target="https://doi.org/10.1186/s13561-024-00487-6" TargetMode="External"/><Relationship Id="rId4" Type="http://schemas.openxmlformats.org/officeDocument/2006/relationships/settings" Target="settings.xml"/><Relationship Id="rId9" Type="http://schemas.openxmlformats.org/officeDocument/2006/relationships/hyperlink" Target="https://doi.org/10.1007/s10488-015-0705-2" TargetMode="External"/><Relationship Id="rId14" Type="http://schemas.openxmlformats.org/officeDocument/2006/relationships/hyperlink" Target="https://doi.org/10.1186/s13012-022-01245-0" TargetMode="External"/><Relationship Id="rId22" Type="http://schemas.openxmlformats.org/officeDocument/2006/relationships/hyperlink" Target="https://doi.org/10.1093/jamia/ocx043" TargetMode="External"/><Relationship Id="rId27" Type="http://schemas.openxmlformats.org/officeDocument/2006/relationships/hyperlink" Target="https://doi.org/10.1377/hlthaff.2009.0709" TargetMode="External"/><Relationship Id="rId30" Type="http://schemas.openxmlformats.org/officeDocument/2006/relationships/hyperlink" Target="https://doi.org/10.1377/hlthaff.2024.01485" TargetMode="External"/><Relationship Id="rId35" Type="http://schemas.openxmlformats.org/officeDocument/2006/relationships/theme" Target="theme/theme1.xml"/><Relationship Id="rId8" Type="http://schemas.openxmlformats.org/officeDocument/2006/relationships/hyperlink" Target="https://doi.org/10.1007/s10796-021-1013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B382D-FA7A-4E25-A776-574154FBA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114</Pages>
  <Words>28717</Words>
  <Characters>163692</Characters>
  <Application>Microsoft Office Word</Application>
  <DocSecurity>0</DocSecurity>
  <Lines>1364</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Penry</dc:creator>
  <cp:keywords/>
  <dc:description/>
  <cp:lastModifiedBy>Hannah Penry</cp:lastModifiedBy>
  <cp:revision>3</cp:revision>
  <dcterms:created xsi:type="dcterms:W3CDTF">2026-04-03T00:26:00Z</dcterms:created>
  <dcterms:modified xsi:type="dcterms:W3CDTF">2026-04-27T13:44:00Z</dcterms:modified>
</cp:coreProperties>
</file>