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628E6" w14:textId="6D062F9E" w:rsidR="5B39DC88" w:rsidRDefault="5B39DC88" w:rsidP="5B39DC88">
      <w:pPr>
        <w:spacing w:after="0" w:line="480" w:lineRule="auto"/>
        <w:jc w:val="center"/>
        <w:rPr>
          <w:rFonts w:ascii="Times New Roman" w:eastAsia="Times New Roman" w:hAnsi="Times New Roman" w:cs="Times New Roman"/>
          <w:b/>
          <w:bCs/>
        </w:rPr>
      </w:pPr>
    </w:p>
    <w:p w14:paraId="350992CF" w14:textId="155188FF" w:rsidR="5B39DC88" w:rsidRDefault="5B39DC88" w:rsidP="5B39DC88">
      <w:pPr>
        <w:spacing w:after="0" w:line="480" w:lineRule="auto"/>
        <w:jc w:val="center"/>
        <w:rPr>
          <w:rFonts w:ascii="Times New Roman" w:eastAsia="Times New Roman" w:hAnsi="Times New Roman" w:cs="Times New Roman"/>
          <w:b/>
          <w:bCs/>
        </w:rPr>
      </w:pPr>
    </w:p>
    <w:p w14:paraId="00FEEE68" w14:textId="60192F60" w:rsidR="5B39DC88" w:rsidRDefault="5B39DC88" w:rsidP="5B39DC88">
      <w:pPr>
        <w:spacing w:after="0" w:line="480" w:lineRule="auto"/>
        <w:jc w:val="center"/>
        <w:rPr>
          <w:rFonts w:ascii="Times New Roman" w:eastAsia="Times New Roman" w:hAnsi="Times New Roman" w:cs="Times New Roman"/>
          <w:b/>
          <w:bCs/>
        </w:rPr>
      </w:pPr>
    </w:p>
    <w:p w14:paraId="1BD5C858" w14:textId="27884A45" w:rsidR="5B39DC88" w:rsidRDefault="5B39DC88" w:rsidP="5B39DC88">
      <w:pPr>
        <w:spacing w:after="0" w:line="480" w:lineRule="auto"/>
        <w:jc w:val="center"/>
        <w:rPr>
          <w:rFonts w:ascii="Times New Roman" w:eastAsia="Times New Roman" w:hAnsi="Times New Roman" w:cs="Times New Roman"/>
          <w:b/>
          <w:bCs/>
        </w:rPr>
      </w:pPr>
    </w:p>
    <w:p w14:paraId="2A5DEB69" w14:textId="1130AA05" w:rsidR="085094B9" w:rsidRDefault="085094B9" w:rsidP="5B39DC88">
      <w:pPr>
        <w:spacing w:after="0" w:line="480" w:lineRule="auto"/>
        <w:jc w:val="center"/>
        <w:rPr>
          <w:rFonts w:ascii="Times New Roman" w:eastAsia="Times New Roman" w:hAnsi="Times New Roman" w:cs="Times New Roman"/>
          <w:b/>
          <w:bCs/>
        </w:rPr>
      </w:pPr>
      <w:r w:rsidRPr="5B39DC88">
        <w:rPr>
          <w:rFonts w:ascii="Times New Roman" w:eastAsia="Times New Roman" w:hAnsi="Times New Roman" w:cs="Times New Roman"/>
          <w:b/>
          <w:bCs/>
        </w:rPr>
        <w:t>Module 5: Health Care Ethics in Finance</w:t>
      </w:r>
    </w:p>
    <w:p w14:paraId="5B677BF3" w14:textId="76A2341E" w:rsidR="5B39DC88" w:rsidRDefault="5B39DC88" w:rsidP="5B39DC88">
      <w:pPr>
        <w:spacing w:line="276" w:lineRule="auto"/>
        <w:jc w:val="center"/>
        <w:rPr>
          <w:rFonts w:ascii="Times New Roman" w:eastAsia="Times New Roman" w:hAnsi="Times New Roman" w:cs="Times New Roman"/>
          <w:color w:val="000000" w:themeColor="text1"/>
        </w:rPr>
      </w:pPr>
    </w:p>
    <w:p w14:paraId="78F8D8B7" w14:textId="70D722C3" w:rsidR="085094B9" w:rsidRDefault="085094B9" w:rsidP="5B39DC88">
      <w:pPr>
        <w:spacing w:line="276" w:lineRule="auto"/>
        <w:jc w:val="center"/>
      </w:pPr>
      <w:r w:rsidRPr="5B39DC88">
        <w:rPr>
          <w:rFonts w:ascii="Times New Roman" w:eastAsia="Times New Roman" w:hAnsi="Times New Roman" w:cs="Times New Roman"/>
          <w:color w:val="000000" w:themeColor="text1"/>
        </w:rPr>
        <w:t>Hannah Penry</w:t>
      </w:r>
    </w:p>
    <w:p w14:paraId="2E6149CD" w14:textId="732BA7E0" w:rsidR="085094B9" w:rsidRDefault="085094B9" w:rsidP="5B39DC88">
      <w:pPr>
        <w:spacing w:line="276" w:lineRule="auto"/>
        <w:jc w:val="center"/>
      </w:pPr>
      <w:r w:rsidRPr="5B39DC88">
        <w:rPr>
          <w:rFonts w:ascii="Times New Roman" w:eastAsia="Times New Roman" w:hAnsi="Times New Roman" w:cs="Times New Roman"/>
          <w:color w:val="000000" w:themeColor="text1"/>
        </w:rPr>
        <w:t>Doctor of Behavioral Health Program Management Concentration)</w:t>
      </w:r>
    </w:p>
    <w:p w14:paraId="4DD94569" w14:textId="778AE568" w:rsidR="085094B9" w:rsidRDefault="085094B9" w:rsidP="5B39DC88">
      <w:pPr>
        <w:spacing w:line="276" w:lineRule="auto"/>
        <w:jc w:val="center"/>
      </w:pPr>
      <w:r w:rsidRPr="5B39DC88">
        <w:rPr>
          <w:rFonts w:ascii="Times New Roman" w:eastAsia="Times New Roman" w:hAnsi="Times New Roman" w:cs="Times New Roman"/>
          <w:color w:val="000000" w:themeColor="text1"/>
        </w:rPr>
        <w:t>Arizona State University – College of Health Solutions</w:t>
      </w:r>
    </w:p>
    <w:p w14:paraId="48B2E4A3" w14:textId="16E84CB6" w:rsidR="085094B9" w:rsidRDefault="085094B9" w:rsidP="5B39DC88">
      <w:pPr>
        <w:spacing w:line="276" w:lineRule="auto"/>
        <w:jc w:val="center"/>
      </w:pPr>
      <w:r w:rsidRPr="5B39DC88">
        <w:rPr>
          <w:rFonts w:ascii="Times New Roman" w:eastAsia="Times New Roman" w:hAnsi="Times New Roman" w:cs="Times New Roman"/>
        </w:rPr>
        <w:t>IBC 660: Legal, Ethical, and Professional Issues</w:t>
      </w:r>
    </w:p>
    <w:p w14:paraId="557AC225" w14:textId="6D4B26F0" w:rsidR="085094B9" w:rsidRDefault="085094B9" w:rsidP="5B39DC88">
      <w:pPr>
        <w:spacing w:line="276" w:lineRule="auto"/>
        <w:jc w:val="center"/>
      </w:pPr>
      <w:r w:rsidRPr="5B39DC88">
        <w:rPr>
          <w:rFonts w:ascii="Times New Roman" w:eastAsia="Times New Roman" w:hAnsi="Times New Roman" w:cs="Times New Roman"/>
          <w:color w:val="000000" w:themeColor="text1"/>
        </w:rPr>
        <w:t xml:space="preserve">Dr. Alison Sutton-Ryan DBH, LCSW, </w:t>
      </w:r>
      <w:proofErr w:type="gramStart"/>
      <w:r w:rsidRPr="5B39DC88">
        <w:rPr>
          <w:rFonts w:ascii="Times New Roman" w:eastAsia="Times New Roman" w:hAnsi="Times New Roman" w:cs="Times New Roman"/>
          <w:color w:val="000000" w:themeColor="text1"/>
        </w:rPr>
        <w:t>LISAC,  Applied</w:t>
      </w:r>
      <w:proofErr w:type="gramEnd"/>
      <w:r w:rsidRPr="5B39DC88">
        <w:rPr>
          <w:rFonts w:ascii="Times New Roman" w:eastAsia="Times New Roman" w:hAnsi="Times New Roman" w:cs="Times New Roman"/>
          <w:color w:val="000000" w:themeColor="text1"/>
        </w:rPr>
        <w:t xml:space="preserve"> Project Chair</w:t>
      </w:r>
    </w:p>
    <w:p w14:paraId="132C0A70" w14:textId="0A6BF771" w:rsidR="085094B9" w:rsidRDefault="085094B9" w:rsidP="5B39DC88">
      <w:pPr>
        <w:spacing w:after="0" w:line="480" w:lineRule="auto"/>
        <w:jc w:val="center"/>
        <w:rPr>
          <w:rFonts w:ascii="Times New Roman" w:eastAsia="Times New Roman" w:hAnsi="Times New Roman" w:cs="Times New Roman"/>
        </w:rPr>
      </w:pPr>
      <w:r w:rsidRPr="5B39DC88">
        <w:rPr>
          <w:rFonts w:ascii="Times New Roman" w:eastAsia="Times New Roman" w:hAnsi="Times New Roman" w:cs="Times New Roman"/>
          <w:color w:val="000000" w:themeColor="text1"/>
        </w:rPr>
        <w:t>11.19.2025</w:t>
      </w:r>
    </w:p>
    <w:p w14:paraId="1C843C44" w14:textId="11826DE5" w:rsidR="5B39DC88" w:rsidRDefault="5B39DC88">
      <w:r>
        <w:br w:type="page"/>
      </w:r>
    </w:p>
    <w:p w14:paraId="633CBA96" w14:textId="63DA84F4" w:rsidR="1D6EA5F9" w:rsidRDefault="1D6EA5F9" w:rsidP="5B39DC88">
      <w:pPr>
        <w:spacing w:after="0" w:line="480" w:lineRule="auto"/>
        <w:jc w:val="center"/>
        <w:rPr>
          <w:rFonts w:ascii="Times New Roman" w:eastAsia="Times New Roman" w:hAnsi="Times New Roman" w:cs="Times New Roman"/>
          <w:b/>
          <w:bCs/>
        </w:rPr>
      </w:pPr>
      <w:r w:rsidRPr="5B39DC88">
        <w:rPr>
          <w:rFonts w:ascii="Times New Roman" w:eastAsia="Times New Roman" w:hAnsi="Times New Roman" w:cs="Times New Roman"/>
          <w:b/>
          <w:bCs/>
        </w:rPr>
        <w:lastRenderedPageBreak/>
        <w:t>Module 5: Health Care Ethics in Finance</w:t>
      </w:r>
    </w:p>
    <w:p w14:paraId="37DCB895" w14:textId="72C4C003" w:rsidR="3C7137BA" w:rsidRDefault="3C7137BA" w:rsidP="5B39DC88">
      <w:pPr>
        <w:spacing w:after="0" w:line="480" w:lineRule="auto"/>
        <w:rPr>
          <w:rFonts w:ascii="Times New Roman" w:eastAsia="Times New Roman" w:hAnsi="Times New Roman" w:cs="Times New Roman"/>
          <w:b/>
          <w:bCs/>
        </w:rPr>
      </w:pPr>
      <w:r w:rsidRPr="5B39DC88">
        <w:rPr>
          <w:rFonts w:ascii="Times New Roman" w:eastAsia="Times New Roman" w:hAnsi="Times New Roman" w:cs="Times New Roman"/>
          <w:b/>
          <w:bCs/>
        </w:rPr>
        <w:t>Section 1: Introduction of the Case and the Dilemma</w:t>
      </w:r>
    </w:p>
    <w:p w14:paraId="57264F35" w14:textId="6377DF1D" w:rsidR="3C7137BA" w:rsidRDefault="3C7137BA"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t xml:space="preserve">Liam is a </w:t>
      </w:r>
      <w:proofErr w:type="gramStart"/>
      <w:r w:rsidRPr="5B39DC88">
        <w:rPr>
          <w:rFonts w:ascii="Times New Roman" w:eastAsia="Times New Roman" w:hAnsi="Times New Roman" w:cs="Times New Roman"/>
        </w:rPr>
        <w:t>six year old</w:t>
      </w:r>
      <w:proofErr w:type="gramEnd"/>
      <w:r w:rsidRPr="5B39DC88">
        <w:rPr>
          <w:rFonts w:ascii="Times New Roman" w:eastAsia="Times New Roman" w:hAnsi="Times New Roman" w:cs="Times New Roman"/>
        </w:rPr>
        <w:t xml:space="preserve"> child with autism who attends a </w:t>
      </w:r>
      <w:proofErr w:type="gramStart"/>
      <w:r w:rsidRPr="5B39DC88">
        <w:rPr>
          <w:rFonts w:ascii="Times New Roman" w:eastAsia="Times New Roman" w:hAnsi="Times New Roman" w:cs="Times New Roman"/>
        </w:rPr>
        <w:t>center based</w:t>
      </w:r>
      <w:proofErr w:type="gramEnd"/>
      <w:r w:rsidRPr="5B39DC88">
        <w:rPr>
          <w:rFonts w:ascii="Times New Roman" w:eastAsia="Times New Roman" w:hAnsi="Times New Roman" w:cs="Times New Roman"/>
        </w:rPr>
        <w:t xml:space="preserve"> ABA program and currently receives thirty hours of treatment per week. Over the past several weeks, his team and parents have observed a decline in his communication, emotional regulation, and safety behaviors. He has begun eloping toward unsafe areas and engaging in self injury, and because his family lives in a rural area with limited services and financial strain, they rely heavily on the center to address these needs.</w:t>
      </w:r>
    </w:p>
    <w:p w14:paraId="7CC77E6E" w14:textId="1E1A9FD5" w:rsidR="3C7137BA" w:rsidRDefault="3C7137BA"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t xml:space="preserve">Two professionals become central to the dilemma. Dr. Jensen, the Senior BCBA, determines that Liam now requires </w:t>
      </w:r>
      <w:proofErr w:type="gramStart"/>
      <w:r w:rsidRPr="5B39DC88">
        <w:rPr>
          <w:rFonts w:ascii="Times New Roman" w:eastAsia="Times New Roman" w:hAnsi="Times New Roman" w:cs="Times New Roman"/>
        </w:rPr>
        <w:t>thirty five</w:t>
      </w:r>
      <w:proofErr w:type="gramEnd"/>
      <w:r w:rsidRPr="5B39DC88">
        <w:rPr>
          <w:rFonts w:ascii="Times New Roman" w:eastAsia="Times New Roman" w:hAnsi="Times New Roman" w:cs="Times New Roman"/>
        </w:rPr>
        <w:t xml:space="preserve"> hours of direct treatment and two hours of parent training each week to address his escalating behaviors. Ms. Carter, the billing and authorization manager, must ensure payer compliance and prevent substantial financial loss to the agency.</w:t>
      </w:r>
    </w:p>
    <w:p w14:paraId="002355C2" w14:textId="7139E8C3" w:rsidR="3C7137BA" w:rsidRDefault="3C7137BA" w:rsidP="5B39DC88">
      <w:pPr>
        <w:spacing w:after="0" w:line="480" w:lineRule="auto"/>
        <w:rPr>
          <w:rFonts w:ascii="Times New Roman" w:eastAsia="Times New Roman" w:hAnsi="Times New Roman" w:cs="Times New Roman"/>
        </w:rPr>
      </w:pPr>
      <w:r w:rsidRPr="5B39DC88">
        <w:rPr>
          <w:rFonts w:ascii="Times New Roman" w:eastAsia="Times New Roman" w:hAnsi="Times New Roman" w:cs="Times New Roman"/>
        </w:rPr>
        <w:t>The conflict arises when Ms. Carter explains that Liam’s insurance plan rarely authorizes more than thirty hours per week, even for severe cases. Providing unreimbursed hours could result in thousands of dollars in losses and trigger payer scrutiny. This creates an ethical and financial dilemma because Dr. Jensen must recommend medically necessary treatment while Ms. Carter must follow payer rules and protect organizational stability (BACB, 2022; Maharaj &amp; Paul, 2011).</w:t>
      </w:r>
    </w:p>
    <w:p w14:paraId="6860F694" w14:textId="70FEDAAE" w:rsidR="3C7137BA" w:rsidRDefault="3C7137BA" w:rsidP="5B39DC88">
      <w:pPr>
        <w:spacing w:after="0" w:line="480" w:lineRule="auto"/>
        <w:rPr>
          <w:rFonts w:ascii="Times New Roman" w:eastAsia="Times New Roman" w:hAnsi="Times New Roman" w:cs="Times New Roman"/>
          <w:b/>
          <w:bCs/>
        </w:rPr>
      </w:pPr>
      <w:r w:rsidRPr="5B39DC88">
        <w:rPr>
          <w:rFonts w:ascii="Times New Roman" w:eastAsia="Times New Roman" w:hAnsi="Times New Roman" w:cs="Times New Roman"/>
          <w:b/>
          <w:bCs/>
        </w:rPr>
        <w:t>Section 2: Differing Ethical and Professional Perspectives</w:t>
      </w:r>
    </w:p>
    <w:p w14:paraId="55E3D683" w14:textId="2D3CD9B9" w:rsidR="3C7137BA" w:rsidRDefault="3C7137BA"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t xml:space="preserve">Dr. Jensen bases her decision making on the Behavior Analyst Certification Board Ethics Code, which requires clinicians to protect clients from harm and recommend services based on individualized need. She is guided by beneficence because she believes additional hours are </w:t>
      </w:r>
      <w:r w:rsidRPr="5B39DC88">
        <w:rPr>
          <w:rFonts w:ascii="Times New Roman" w:eastAsia="Times New Roman" w:hAnsi="Times New Roman" w:cs="Times New Roman"/>
        </w:rPr>
        <w:lastRenderedPageBreak/>
        <w:t>required to keep Liam safe. She is also guided by non maleficence, since failing to increase care may allow his dangerous behaviors to intensify.</w:t>
      </w:r>
    </w:p>
    <w:p w14:paraId="4BA86976" w14:textId="09B9A456" w:rsidR="50FC2950" w:rsidRDefault="50FC2950"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t xml:space="preserve">Ms. Carter is guided by administrative and legal standards such as the Centers for Medicare and Medicaid Services (CMS) billing compliance requirements, payer utilization management rules, and documentation standards that regulate accurate billing and responsible resource management. She is also influenced by standards described in the American Medical Association’s Code of Medical Ethics related to fair resource allocation and stewardship in healthcare organizations.  </w:t>
      </w:r>
      <w:r w:rsidR="3C7137BA" w:rsidRPr="5B39DC88">
        <w:rPr>
          <w:rFonts w:ascii="Times New Roman" w:eastAsia="Times New Roman" w:hAnsi="Times New Roman" w:cs="Times New Roman"/>
        </w:rPr>
        <w:t>She works under the ethical principle of justice by ensuring the organization allocates limited resources fairly across clients. She also has a legal obligation to prevent billing practices that could expose the center to allegations of fraud or non compliance.</w:t>
      </w:r>
    </w:p>
    <w:p w14:paraId="325A3BAC" w14:textId="4149FD44" w:rsidR="3C7137BA" w:rsidRDefault="3C7137BA"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t>The professionals agree that Liam’s safety must come first, but they diverge because clinical need exceeds what the insurer is likely to authorize. A clinically driven decision risks delivering unreimbursed care that threatens organizational stability. A financially driven decision risks limiting care that Liam clearly needs, which increases the likelihood of harm and ethical conflict (Keilman et al., 2023; Iserson et al., 2024).</w:t>
      </w:r>
    </w:p>
    <w:p w14:paraId="084227CF" w14:textId="162CFB18" w:rsidR="3C7137BA" w:rsidRDefault="3C7137BA" w:rsidP="5B39DC88">
      <w:pPr>
        <w:spacing w:after="0" w:line="480" w:lineRule="auto"/>
        <w:rPr>
          <w:rFonts w:ascii="Times New Roman" w:eastAsia="Times New Roman" w:hAnsi="Times New Roman" w:cs="Times New Roman"/>
          <w:b/>
          <w:bCs/>
        </w:rPr>
      </w:pPr>
      <w:r w:rsidRPr="5B39DC88">
        <w:rPr>
          <w:rFonts w:ascii="Times New Roman" w:eastAsia="Times New Roman" w:hAnsi="Times New Roman" w:cs="Times New Roman"/>
          <w:b/>
          <w:bCs/>
        </w:rPr>
        <w:t>Section 3: Optimum Team Based Shared Decision Making</w:t>
      </w:r>
    </w:p>
    <w:p w14:paraId="72E999CE" w14:textId="6846123C" w:rsidR="3C7137BA" w:rsidRDefault="3C7137BA"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t>Structured communication can help bridge the difference between clinical judgment and financial constraints. Regular case review meetings allow administrative staff to explain payer trends and authorization patterns. These discussions reduce moral distress and support joint understanding of the limits that influence treatment decisions (Keilman et al., 2023).</w:t>
      </w:r>
    </w:p>
    <w:p w14:paraId="2D43DEA1" w14:textId="6CF02649" w:rsidR="3C7137BA" w:rsidRDefault="3C7137BA" w:rsidP="5B39DC88">
      <w:pPr>
        <w:spacing w:after="0" w:line="480" w:lineRule="auto"/>
        <w:rPr>
          <w:rFonts w:ascii="Times New Roman" w:eastAsia="Times New Roman" w:hAnsi="Times New Roman" w:cs="Times New Roman"/>
        </w:rPr>
      </w:pPr>
      <w:r w:rsidRPr="5B39DC88">
        <w:rPr>
          <w:rFonts w:ascii="Times New Roman" w:eastAsia="Times New Roman" w:hAnsi="Times New Roman" w:cs="Times New Roman"/>
        </w:rPr>
        <w:t xml:space="preserve">Interdisciplinary ethical </w:t>
      </w:r>
      <w:proofErr w:type="gramStart"/>
      <w:r w:rsidRPr="5B39DC88">
        <w:rPr>
          <w:rFonts w:ascii="Times New Roman" w:eastAsia="Times New Roman" w:hAnsi="Times New Roman" w:cs="Times New Roman"/>
        </w:rPr>
        <w:t>decision making</w:t>
      </w:r>
      <w:proofErr w:type="gramEnd"/>
      <w:r w:rsidRPr="5B39DC88">
        <w:rPr>
          <w:rFonts w:ascii="Times New Roman" w:eastAsia="Times New Roman" w:hAnsi="Times New Roman" w:cs="Times New Roman"/>
        </w:rPr>
        <w:t xml:space="preserve"> frameworks provide guidance for evaluating risks and determining ethically acceptable options. Healthcare finance literature emphasizes the need to balance patient needs with organizational sustainability, which requires both perspectives at the </w:t>
      </w:r>
      <w:r w:rsidRPr="5B39DC88">
        <w:rPr>
          <w:rFonts w:ascii="Times New Roman" w:eastAsia="Times New Roman" w:hAnsi="Times New Roman" w:cs="Times New Roman"/>
        </w:rPr>
        <w:lastRenderedPageBreak/>
        <w:t>table. When teams discuss clinical risk, payer rules, and resource constraints together, they develop more defensible and ethically grounded solutions (Maharaj &amp; Paul, 2011; Iserson et al., 2024).</w:t>
      </w:r>
    </w:p>
    <w:p w14:paraId="2728B217" w14:textId="0404A056" w:rsidR="3C7137BA" w:rsidRDefault="3C7137BA"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t>Including the family in decisions influenced by financial limits supports transparency and shared decision making. Clear discussions about the gap between recommended care and what the insurer is likely to authorize help maintain trust. Families can then consider phased schedules, enhanced parent training, or other supports that address safety within existing limits (Denham, 2024).</w:t>
      </w:r>
    </w:p>
    <w:p w14:paraId="5C0BC93B" w14:textId="5FF2FCDE" w:rsidR="3C7137BA" w:rsidRDefault="3C7137BA"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t>Training can further strengthen interdisciplinary collaboration. Education on healthcare economics and ethics helps both clinical and administrative staff understand how financial and regulatory factors shape care. Simulation based learning prepares teams to practice decision making under realistic financial constraints and reduces future conflict (Zhu et al., 2024).</w:t>
      </w:r>
    </w:p>
    <w:p w14:paraId="6D6120CB" w14:textId="4238CD4B" w:rsidR="3C7137BA" w:rsidRDefault="3C7137BA" w:rsidP="5B39DC88">
      <w:pPr>
        <w:spacing w:after="0" w:line="480" w:lineRule="auto"/>
        <w:rPr>
          <w:rFonts w:ascii="Times New Roman" w:eastAsia="Times New Roman" w:hAnsi="Times New Roman" w:cs="Times New Roman"/>
          <w:b/>
          <w:bCs/>
        </w:rPr>
      </w:pPr>
      <w:r w:rsidRPr="5B39DC88">
        <w:rPr>
          <w:rFonts w:ascii="Times New Roman" w:eastAsia="Times New Roman" w:hAnsi="Times New Roman" w:cs="Times New Roman"/>
          <w:b/>
          <w:bCs/>
        </w:rPr>
        <w:t>Section 4: Resolution Plan Incorporating Ethical, Financial, and Professional Standards</w:t>
      </w:r>
    </w:p>
    <w:p w14:paraId="6A87BBFB" w14:textId="7C7C00A1" w:rsidR="3C7137BA" w:rsidRDefault="3C7137BA"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t>A balanced resolution begins with a structured meeting between Dr. Jensen and Ms. Carter to evaluate clinical risk, payer limitations, and the consequences of each option. The team can submit a revised authorization request that includes detailed behavior data, safety information, and parent reports. Providing clear documentation and risk justification strengthens the request and aligns with best practices for ethical financial decision making.</w:t>
      </w:r>
    </w:p>
    <w:p w14:paraId="48F65CB3" w14:textId="7F6051DB" w:rsidR="3C7137BA" w:rsidRDefault="3C7137BA" w:rsidP="5B39DC88">
      <w:pPr>
        <w:spacing w:after="0" w:line="480" w:lineRule="auto"/>
        <w:rPr>
          <w:rFonts w:ascii="Times New Roman" w:eastAsia="Times New Roman" w:hAnsi="Times New Roman" w:cs="Times New Roman"/>
        </w:rPr>
      </w:pPr>
      <w:r w:rsidRPr="5B39DC88">
        <w:rPr>
          <w:rFonts w:ascii="Times New Roman" w:eastAsia="Times New Roman" w:hAnsi="Times New Roman" w:cs="Times New Roman"/>
        </w:rPr>
        <w:t>If the request is denied, the team can file an appeal that responds directly to the insurer’s rationale. This approach balances the BCBA’s duty to recommend medically necessary treatment with the administrator’s duty to follow regulations and protect the organization. Involving the family in these discussions promotes shared decision making and prepares them for potential outcomes.</w:t>
      </w:r>
    </w:p>
    <w:p w14:paraId="6F579059" w14:textId="0913934E" w:rsidR="3C7137BA" w:rsidRDefault="3C7137BA" w:rsidP="5B39DC88">
      <w:pPr>
        <w:spacing w:after="0" w:line="480" w:lineRule="auto"/>
        <w:ind w:firstLine="720"/>
        <w:rPr>
          <w:rFonts w:ascii="Times New Roman" w:eastAsia="Times New Roman" w:hAnsi="Times New Roman" w:cs="Times New Roman"/>
        </w:rPr>
      </w:pPr>
      <w:r w:rsidRPr="5B39DC88">
        <w:rPr>
          <w:rFonts w:ascii="Times New Roman" w:eastAsia="Times New Roman" w:hAnsi="Times New Roman" w:cs="Times New Roman"/>
        </w:rPr>
        <w:lastRenderedPageBreak/>
        <w:t xml:space="preserve">The organization can prevent similar dilemmas by adopting interdisciplinary review procedures for </w:t>
      </w:r>
      <w:proofErr w:type="gramStart"/>
      <w:r w:rsidRPr="5B39DC88">
        <w:rPr>
          <w:rFonts w:ascii="Times New Roman" w:eastAsia="Times New Roman" w:hAnsi="Times New Roman" w:cs="Times New Roman"/>
        </w:rPr>
        <w:t>high risk</w:t>
      </w:r>
      <w:proofErr w:type="gramEnd"/>
      <w:r w:rsidRPr="5B39DC88">
        <w:rPr>
          <w:rFonts w:ascii="Times New Roman" w:eastAsia="Times New Roman" w:hAnsi="Times New Roman" w:cs="Times New Roman"/>
        </w:rPr>
        <w:t xml:space="preserve"> cases. Developing shared guidelines for preparing authorization requests ensures clinical and financial considerations are evaluated together. Interdisciplinary training that combines ethical reasoning, healthcare finance education, and </w:t>
      </w:r>
      <w:proofErr w:type="gramStart"/>
      <w:r w:rsidRPr="5B39DC88">
        <w:rPr>
          <w:rFonts w:ascii="Times New Roman" w:eastAsia="Times New Roman" w:hAnsi="Times New Roman" w:cs="Times New Roman"/>
        </w:rPr>
        <w:t>case based</w:t>
      </w:r>
      <w:proofErr w:type="gramEnd"/>
      <w:r w:rsidRPr="5B39DC88">
        <w:rPr>
          <w:rFonts w:ascii="Times New Roman" w:eastAsia="Times New Roman" w:hAnsi="Times New Roman" w:cs="Times New Roman"/>
        </w:rPr>
        <w:t xml:space="preserve"> simulations </w:t>
      </w:r>
      <w:proofErr w:type="gramStart"/>
      <w:r w:rsidRPr="5B39DC88">
        <w:rPr>
          <w:rFonts w:ascii="Times New Roman" w:eastAsia="Times New Roman" w:hAnsi="Times New Roman" w:cs="Times New Roman"/>
        </w:rPr>
        <w:t>strengthens</w:t>
      </w:r>
      <w:proofErr w:type="gramEnd"/>
      <w:r w:rsidRPr="5B39DC88">
        <w:rPr>
          <w:rFonts w:ascii="Times New Roman" w:eastAsia="Times New Roman" w:hAnsi="Times New Roman" w:cs="Times New Roman"/>
        </w:rPr>
        <w:t xml:space="preserve"> the team’s ability to navigate future conflicts (BACB, 2022; Maharaj &amp; Paul, 2011; Zhu et al., 2024).</w:t>
      </w:r>
    </w:p>
    <w:p w14:paraId="6F1B875C" w14:textId="4C56E7DD" w:rsidR="5B39DC88" w:rsidRDefault="5B39DC88" w:rsidP="5B39DC88">
      <w:pPr>
        <w:spacing w:after="0" w:line="480" w:lineRule="auto"/>
        <w:ind w:firstLine="720"/>
        <w:rPr>
          <w:rFonts w:ascii="Times New Roman" w:eastAsia="Times New Roman" w:hAnsi="Times New Roman" w:cs="Times New Roman"/>
        </w:rPr>
      </w:pPr>
    </w:p>
    <w:p w14:paraId="4A225851" w14:textId="60A1C622" w:rsidR="5B39DC88" w:rsidRDefault="5B39DC88">
      <w:r>
        <w:br w:type="page"/>
      </w:r>
    </w:p>
    <w:p w14:paraId="389B89E5" w14:textId="5C14F9DD" w:rsidR="5F04D826" w:rsidRDefault="5F04D826" w:rsidP="5B39DC88">
      <w:pPr>
        <w:spacing w:after="0" w:line="480" w:lineRule="auto"/>
        <w:ind w:firstLine="720"/>
        <w:jc w:val="center"/>
        <w:rPr>
          <w:rFonts w:ascii="Times New Roman" w:eastAsia="Times New Roman" w:hAnsi="Times New Roman" w:cs="Times New Roman"/>
          <w:b/>
          <w:bCs/>
        </w:rPr>
      </w:pPr>
      <w:r w:rsidRPr="5B39DC88">
        <w:rPr>
          <w:rFonts w:ascii="Times New Roman" w:eastAsia="Times New Roman" w:hAnsi="Times New Roman" w:cs="Times New Roman"/>
          <w:b/>
          <w:bCs/>
        </w:rPr>
        <w:lastRenderedPageBreak/>
        <w:t>References</w:t>
      </w:r>
    </w:p>
    <w:p w14:paraId="5B3F40E9" w14:textId="418C210B" w:rsidR="29A5A61F" w:rsidRDefault="29A5A61F" w:rsidP="5B39DC88">
      <w:pPr>
        <w:spacing w:after="0" w:line="480" w:lineRule="auto"/>
        <w:ind w:left="720" w:hanging="720"/>
        <w:rPr>
          <w:rFonts w:ascii="Times New Roman" w:eastAsia="Times New Roman" w:hAnsi="Times New Roman" w:cs="Times New Roman"/>
        </w:rPr>
      </w:pPr>
      <w:r w:rsidRPr="5B39DC88">
        <w:rPr>
          <w:rFonts w:ascii="Times New Roman" w:eastAsia="Times New Roman" w:hAnsi="Times New Roman" w:cs="Times New Roman"/>
        </w:rPr>
        <w:t>American Medical Association. (2023). AMA code of medical ethics: Guidance for healthcare professionals. American Medical Association.</w:t>
      </w:r>
    </w:p>
    <w:p w14:paraId="571472B6" w14:textId="364C3BB7" w:rsidR="24341B24" w:rsidRDefault="24341B24" w:rsidP="5B39DC88">
      <w:pPr>
        <w:spacing w:after="0" w:line="480" w:lineRule="auto"/>
        <w:ind w:left="720" w:hanging="720"/>
        <w:rPr>
          <w:rFonts w:ascii="Times New Roman" w:eastAsia="Times New Roman" w:hAnsi="Times New Roman" w:cs="Times New Roman"/>
        </w:rPr>
      </w:pPr>
      <w:r w:rsidRPr="5B39DC88">
        <w:rPr>
          <w:rFonts w:ascii="Times New Roman" w:eastAsia="Times New Roman" w:hAnsi="Times New Roman" w:cs="Times New Roman"/>
        </w:rPr>
        <w:t xml:space="preserve">Behavior Analyst Certification Board. (2022). </w:t>
      </w:r>
      <w:r w:rsidRPr="5B39DC88">
        <w:rPr>
          <w:rFonts w:ascii="Times New Roman" w:eastAsia="Times New Roman" w:hAnsi="Times New Roman" w:cs="Times New Roman"/>
          <w:i/>
          <w:iCs/>
        </w:rPr>
        <w:t>Ethics code for behavior analysts</w:t>
      </w:r>
      <w:r w:rsidRPr="5B39DC88">
        <w:rPr>
          <w:rFonts w:ascii="Times New Roman" w:eastAsia="Times New Roman" w:hAnsi="Times New Roman" w:cs="Times New Roman"/>
        </w:rPr>
        <w:t>. Littleton, CO: Author.</w:t>
      </w:r>
    </w:p>
    <w:p w14:paraId="388581C3" w14:textId="065861E5" w:rsidR="1AB1C45F" w:rsidRDefault="1AB1C45F" w:rsidP="5B39DC88">
      <w:pPr>
        <w:spacing w:after="0" w:line="480" w:lineRule="auto"/>
        <w:ind w:left="720" w:hanging="720"/>
        <w:rPr>
          <w:rFonts w:ascii="Times New Roman" w:eastAsia="Times New Roman" w:hAnsi="Times New Roman" w:cs="Times New Roman"/>
          <w:i/>
          <w:iCs/>
        </w:rPr>
      </w:pPr>
      <w:r w:rsidRPr="5B39DC88">
        <w:rPr>
          <w:rFonts w:ascii="Times New Roman" w:eastAsia="Times New Roman" w:hAnsi="Times New Roman" w:cs="Times New Roman"/>
        </w:rPr>
        <w:t>Centers for Medicare &amp; Medicaid Services. (2023). Medicare program integrity manual. U.S. Department of Health and Human Services.</w:t>
      </w:r>
    </w:p>
    <w:p w14:paraId="560C9034" w14:textId="43B3BACF" w:rsidR="24341B24" w:rsidRDefault="24341B24" w:rsidP="5B39DC88">
      <w:pPr>
        <w:spacing w:after="0" w:line="480" w:lineRule="auto"/>
        <w:ind w:left="720" w:hanging="720"/>
        <w:rPr>
          <w:rFonts w:ascii="Times New Roman" w:eastAsia="Times New Roman" w:hAnsi="Times New Roman" w:cs="Times New Roman"/>
        </w:rPr>
      </w:pPr>
      <w:r w:rsidRPr="5B39DC88">
        <w:rPr>
          <w:rFonts w:ascii="Times New Roman" w:eastAsia="Times New Roman" w:hAnsi="Times New Roman" w:cs="Times New Roman"/>
        </w:rPr>
        <w:t xml:space="preserve">Denham, A. C. (2024). Learning from Ervin’s care: Ethics, health care finance, and human connection. </w:t>
      </w:r>
      <w:r w:rsidRPr="5B39DC88">
        <w:rPr>
          <w:rFonts w:ascii="Times New Roman" w:eastAsia="Times New Roman" w:hAnsi="Times New Roman" w:cs="Times New Roman"/>
          <w:i/>
          <w:iCs/>
        </w:rPr>
        <w:t>Annals of Family Medicine, 22</w:t>
      </w:r>
      <w:r w:rsidRPr="5B39DC88">
        <w:rPr>
          <w:rFonts w:ascii="Times New Roman" w:eastAsia="Times New Roman" w:hAnsi="Times New Roman" w:cs="Times New Roman"/>
        </w:rPr>
        <w:t>(6), 565–567.</w:t>
      </w:r>
    </w:p>
    <w:p w14:paraId="60244379" w14:textId="5C43D161" w:rsidR="24341B24" w:rsidRDefault="24341B24" w:rsidP="5B39DC88">
      <w:pPr>
        <w:spacing w:after="0" w:line="480" w:lineRule="auto"/>
        <w:ind w:left="720" w:hanging="720"/>
        <w:rPr>
          <w:rFonts w:ascii="Times New Roman" w:eastAsia="Times New Roman" w:hAnsi="Times New Roman" w:cs="Times New Roman"/>
        </w:rPr>
      </w:pPr>
      <w:r w:rsidRPr="5B39DC88">
        <w:rPr>
          <w:rFonts w:ascii="Times New Roman" w:eastAsia="Times New Roman" w:hAnsi="Times New Roman" w:cs="Times New Roman"/>
        </w:rPr>
        <w:t xml:space="preserve">Iserson, K. V., Paxton, J. H., Martin, D. R., &amp; Marcolini, E. (2024). Emergency physicians’ ethical issues with hospital business models. </w:t>
      </w:r>
      <w:r w:rsidRPr="5B39DC88">
        <w:rPr>
          <w:rFonts w:ascii="Times New Roman" w:eastAsia="Times New Roman" w:hAnsi="Times New Roman" w:cs="Times New Roman"/>
          <w:i/>
          <w:iCs/>
        </w:rPr>
        <w:t>The Journal of Emergency Medicine, 67</w:t>
      </w:r>
      <w:r w:rsidRPr="5B39DC88">
        <w:rPr>
          <w:rFonts w:ascii="Times New Roman" w:eastAsia="Times New Roman" w:hAnsi="Times New Roman" w:cs="Times New Roman"/>
        </w:rPr>
        <w:t>(1), e99–e104.</w:t>
      </w:r>
    </w:p>
    <w:p w14:paraId="1A994704" w14:textId="4269DB0E" w:rsidR="24341B24" w:rsidRDefault="24341B24" w:rsidP="5B39DC88">
      <w:pPr>
        <w:spacing w:after="0" w:line="480" w:lineRule="auto"/>
        <w:ind w:left="720" w:hanging="720"/>
        <w:rPr>
          <w:rFonts w:ascii="Times New Roman" w:eastAsia="Times New Roman" w:hAnsi="Times New Roman" w:cs="Times New Roman"/>
        </w:rPr>
      </w:pPr>
      <w:r w:rsidRPr="5B39DC88">
        <w:rPr>
          <w:rFonts w:ascii="Times New Roman" w:eastAsia="Times New Roman" w:hAnsi="Times New Roman" w:cs="Times New Roman"/>
        </w:rPr>
        <w:t xml:space="preserve">Keilman, L., Jolaei, S., &amp; Olsen, D. P. (2023). Moral distress and patients who forego care due to cost. </w:t>
      </w:r>
      <w:r w:rsidRPr="5B39DC88">
        <w:rPr>
          <w:rFonts w:ascii="Times New Roman" w:eastAsia="Times New Roman" w:hAnsi="Times New Roman" w:cs="Times New Roman"/>
          <w:i/>
          <w:iCs/>
        </w:rPr>
        <w:t>Nursing Ethics, 30</w:t>
      </w:r>
      <w:r w:rsidRPr="5B39DC88">
        <w:rPr>
          <w:rFonts w:ascii="Times New Roman" w:eastAsia="Times New Roman" w:hAnsi="Times New Roman" w:cs="Times New Roman"/>
        </w:rPr>
        <w:t>(3), 370–381.</w:t>
      </w:r>
    </w:p>
    <w:p w14:paraId="26B0F28D" w14:textId="1F838AD0" w:rsidR="24341B24" w:rsidRDefault="24341B24" w:rsidP="5B39DC88">
      <w:pPr>
        <w:spacing w:after="0" w:line="480" w:lineRule="auto"/>
        <w:ind w:left="720" w:hanging="720"/>
        <w:rPr>
          <w:rFonts w:ascii="Times New Roman" w:eastAsia="Times New Roman" w:hAnsi="Times New Roman" w:cs="Times New Roman"/>
        </w:rPr>
      </w:pPr>
      <w:r w:rsidRPr="5B39DC88">
        <w:rPr>
          <w:rFonts w:ascii="Times New Roman" w:eastAsia="Times New Roman" w:hAnsi="Times New Roman" w:cs="Times New Roman"/>
        </w:rPr>
        <w:t xml:space="preserve">Maharaj, S. R., &amp; Paul, T. J. (2011). Ethical issues in healthcare financing. </w:t>
      </w:r>
      <w:r w:rsidRPr="5B39DC88">
        <w:rPr>
          <w:rFonts w:ascii="Times New Roman" w:eastAsia="Times New Roman" w:hAnsi="Times New Roman" w:cs="Times New Roman"/>
          <w:i/>
          <w:iCs/>
        </w:rPr>
        <w:t>West Indian Medical Journal, 60</w:t>
      </w:r>
      <w:r w:rsidRPr="5B39DC88">
        <w:rPr>
          <w:rFonts w:ascii="Times New Roman" w:eastAsia="Times New Roman" w:hAnsi="Times New Roman" w:cs="Times New Roman"/>
        </w:rPr>
        <w:t>(4), 498–501.</w:t>
      </w:r>
    </w:p>
    <w:p w14:paraId="2CFC0757" w14:textId="19180015" w:rsidR="24341B24" w:rsidRDefault="24341B24" w:rsidP="5B39DC88">
      <w:pPr>
        <w:spacing w:after="0" w:line="480" w:lineRule="auto"/>
        <w:ind w:left="720" w:hanging="720"/>
        <w:rPr>
          <w:rFonts w:ascii="Times New Roman" w:eastAsia="Times New Roman" w:hAnsi="Times New Roman" w:cs="Times New Roman"/>
        </w:rPr>
      </w:pPr>
      <w:r w:rsidRPr="5B39DC88">
        <w:rPr>
          <w:rFonts w:ascii="Times New Roman" w:eastAsia="Times New Roman" w:hAnsi="Times New Roman" w:cs="Times New Roman"/>
        </w:rPr>
        <w:t xml:space="preserve">Zhu, J. M., Zeveney, A., Read, S., &amp; Crowley, R. (2024). Physician perspectives on private equity investment in health care. </w:t>
      </w:r>
      <w:r w:rsidRPr="5B39DC88">
        <w:rPr>
          <w:rFonts w:ascii="Times New Roman" w:eastAsia="Times New Roman" w:hAnsi="Times New Roman" w:cs="Times New Roman"/>
          <w:i/>
          <w:iCs/>
        </w:rPr>
        <w:t>JAMA Internal Medicine, 184</w:t>
      </w:r>
      <w:r w:rsidRPr="5B39DC88">
        <w:rPr>
          <w:rFonts w:ascii="Times New Roman" w:eastAsia="Times New Roman" w:hAnsi="Times New Roman" w:cs="Times New Roman"/>
        </w:rPr>
        <w:t>(5), 579–580.</w:t>
      </w:r>
    </w:p>
    <w:p w14:paraId="24537279" w14:textId="72019D6C" w:rsidR="5B39DC88" w:rsidRDefault="5B39DC88" w:rsidP="5B39DC88">
      <w:pPr>
        <w:spacing w:after="0" w:line="480" w:lineRule="auto"/>
        <w:ind w:left="720" w:hanging="720"/>
        <w:rPr>
          <w:rFonts w:ascii="Times New Roman" w:eastAsia="Times New Roman" w:hAnsi="Times New Roman" w:cs="Times New Roman"/>
        </w:rPr>
      </w:pPr>
    </w:p>
    <w:p w14:paraId="6BFF78D7" w14:textId="50E73F8F" w:rsidR="5B39DC88" w:rsidRDefault="5B39DC88" w:rsidP="5B39DC88">
      <w:pPr>
        <w:spacing w:after="0" w:line="480" w:lineRule="auto"/>
        <w:ind w:left="720" w:hanging="720"/>
        <w:rPr>
          <w:rFonts w:ascii="Times New Roman" w:eastAsia="Times New Roman" w:hAnsi="Times New Roman" w:cs="Times New Roman"/>
        </w:rPr>
      </w:pPr>
    </w:p>
    <w:p w14:paraId="317D82EC" w14:textId="7EB45BBF" w:rsidR="5B39DC88" w:rsidRDefault="5B39DC88" w:rsidP="5B39DC88">
      <w:pPr>
        <w:spacing w:after="0" w:line="480" w:lineRule="auto"/>
        <w:ind w:left="720" w:hanging="720"/>
        <w:rPr>
          <w:rFonts w:ascii="Times New Roman" w:eastAsia="Times New Roman" w:hAnsi="Times New Roman" w:cs="Times New Roman"/>
        </w:rPr>
      </w:pPr>
    </w:p>
    <w:sectPr w:rsidR="5B39DC88">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76BC1" w14:textId="77777777" w:rsidR="002F589D" w:rsidRDefault="002F589D">
      <w:pPr>
        <w:spacing w:after="0" w:line="240" w:lineRule="auto"/>
      </w:pPr>
      <w:r>
        <w:separator/>
      </w:r>
    </w:p>
  </w:endnote>
  <w:endnote w:type="continuationSeparator" w:id="0">
    <w:p w14:paraId="34B1C04A" w14:textId="77777777" w:rsidR="002F589D" w:rsidRDefault="002F5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B39DC88" w14:paraId="15424B3F" w14:textId="77777777" w:rsidTr="5B39DC88">
      <w:trPr>
        <w:trHeight w:val="300"/>
      </w:trPr>
      <w:tc>
        <w:tcPr>
          <w:tcW w:w="3120" w:type="dxa"/>
        </w:tcPr>
        <w:p w14:paraId="481E2866" w14:textId="16C105B2" w:rsidR="5B39DC88" w:rsidRDefault="5B39DC88" w:rsidP="5B39DC88">
          <w:pPr>
            <w:pStyle w:val="Header"/>
            <w:ind w:left="-115"/>
          </w:pPr>
        </w:p>
      </w:tc>
      <w:tc>
        <w:tcPr>
          <w:tcW w:w="3120" w:type="dxa"/>
        </w:tcPr>
        <w:p w14:paraId="61E8D447" w14:textId="664F3EA6" w:rsidR="5B39DC88" w:rsidRDefault="5B39DC88" w:rsidP="5B39DC88">
          <w:pPr>
            <w:pStyle w:val="Header"/>
            <w:jc w:val="center"/>
          </w:pPr>
        </w:p>
      </w:tc>
      <w:tc>
        <w:tcPr>
          <w:tcW w:w="3120" w:type="dxa"/>
        </w:tcPr>
        <w:p w14:paraId="628486A9" w14:textId="473C79EB" w:rsidR="5B39DC88" w:rsidRDefault="5B39DC88" w:rsidP="5B39DC88">
          <w:pPr>
            <w:pStyle w:val="Header"/>
            <w:ind w:right="-115"/>
            <w:jc w:val="right"/>
          </w:pPr>
        </w:p>
      </w:tc>
    </w:tr>
  </w:tbl>
  <w:p w14:paraId="6A409050" w14:textId="657A7814" w:rsidR="5B39DC88" w:rsidRDefault="5B39DC88" w:rsidP="5B39DC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FFBCF" w14:textId="77777777" w:rsidR="002F589D" w:rsidRDefault="002F589D">
      <w:pPr>
        <w:spacing w:after="0" w:line="240" w:lineRule="auto"/>
      </w:pPr>
      <w:r>
        <w:separator/>
      </w:r>
    </w:p>
  </w:footnote>
  <w:footnote w:type="continuationSeparator" w:id="0">
    <w:p w14:paraId="61E356C0" w14:textId="77777777" w:rsidR="002F589D" w:rsidRDefault="002F5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6240"/>
      <w:gridCol w:w="3120"/>
    </w:tblGrid>
    <w:tr w:rsidR="5B39DC88" w14:paraId="46597B0B" w14:textId="77777777" w:rsidTr="5B39DC88">
      <w:trPr>
        <w:trHeight w:val="300"/>
      </w:trPr>
      <w:tc>
        <w:tcPr>
          <w:tcW w:w="6240" w:type="dxa"/>
        </w:tcPr>
        <w:p w14:paraId="4F2E97E1" w14:textId="2CE2A851" w:rsidR="5B39DC88" w:rsidRDefault="5B39DC88" w:rsidP="5B39DC88">
          <w:pPr>
            <w:pStyle w:val="Header"/>
            <w:ind w:left="-115"/>
            <w:rPr>
              <w:rFonts w:ascii="Times New Roman" w:eastAsia="Times New Roman" w:hAnsi="Times New Roman" w:cs="Times New Roman"/>
            </w:rPr>
          </w:pPr>
          <w:r w:rsidRPr="5B39DC88">
            <w:rPr>
              <w:rFonts w:ascii="Times New Roman" w:eastAsia="Times New Roman" w:hAnsi="Times New Roman" w:cs="Times New Roman"/>
            </w:rPr>
            <w:t>MODULE FIVE: HEALTHCARE ETHICS IN FINANCE</w:t>
          </w:r>
        </w:p>
      </w:tc>
      <w:tc>
        <w:tcPr>
          <w:tcW w:w="3120" w:type="dxa"/>
        </w:tcPr>
        <w:p w14:paraId="29E9BE84" w14:textId="69D9299A" w:rsidR="5B39DC88" w:rsidRDefault="5B39DC88" w:rsidP="5B39DC88">
          <w:pPr>
            <w:pStyle w:val="Header"/>
            <w:ind w:right="-115"/>
            <w:jc w:val="right"/>
          </w:pPr>
          <w:r>
            <w:fldChar w:fldCharType="begin"/>
          </w:r>
          <w:r>
            <w:instrText>PAGE</w:instrText>
          </w:r>
          <w:r>
            <w:fldChar w:fldCharType="separate"/>
          </w:r>
          <w:r w:rsidR="00197035">
            <w:rPr>
              <w:noProof/>
            </w:rPr>
            <w:t>1</w:t>
          </w:r>
          <w:r>
            <w:fldChar w:fldCharType="end"/>
          </w:r>
        </w:p>
      </w:tc>
    </w:tr>
  </w:tbl>
  <w:p w14:paraId="35A5F7EB" w14:textId="782B889E" w:rsidR="5B39DC88" w:rsidRDefault="5B39DC88" w:rsidP="5B39DC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EC8D91"/>
    <w:rsid w:val="000E01BD"/>
    <w:rsid w:val="0017222E"/>
    <w:rsid w:val="00197035"/>
    <w:rsid w:val="002F589D"/>
    <w:rsid w:val="00726883"/>
    <w:rsid w:val="00805E71"/>
    <w:rsid w:val="008F49BB"/>
    <w:rsid w:val="018D6A36"/>
    <w:rsid w:val="032DB830"/>
    <w:rsid w:val="054D81EC"/>
    <w:rsid w:val="085094B9"/>
    <w:rsid w:val="08EC8D91"/>
    <w:rsid w:val="0C7FFA30"/>
    <w:rsid w:val="10AAEF93"/>
    <w:rsid w:val="1AB1C45F"/>
    <w:rsid w:val="1D6EA5F9"/>
    <w:rsid w:val="24341B24"/>
    <w:rsid w:val="29A5A61F"/>
    <w:rsid w:val="33877DCF"/>
    <w:rsid w:val="3C7137BA"/>
    <w:rsid w:val="3E7BFC7B"/>
    <w:rsid w:val="44D55167"/>
    <w:rsid w:val="4A4A5B4B"/>
    <w:rsid w:val="4CDA5288"/>
    <w:rsid w:val="50FC2950"/>
    <w:rsid w:val="51872B9A"/>
    <w:rsid w:val="591AB3F3"/>
    <w:rsid w:val="5B39DC88"/>
    <w:rsid w:val="5F04D826"/>
    <w:rsid w:val="60E00063"/>
    <w:rsid w:val="6537DA03"/>
    <w:rsid w:val="6C0C279B"/>
    <w:rsid w:val="6CE0B9E9"/>
    <w:rsid w:val="747517E7"/>
    <w:rsid w:val="76AB0FF3"/>
    <w:rsid w:val="7CADC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C8D91"/>
  <w15:chartTrackingRefBased/>
  <w15:docId w15:val="{17D3DBBF-6CD1-4AD0-9200-7F21B6F10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5B39DC88"/>
    <w:pPr>
      <w:tabs>
        <w:tab w:val="center" w:pos="4680"/>
        <w:tab w:val="right" w:pos="9360"/>
      </w:tabs>
      <w:spacing w:after="0" w:line="240" w:lineRule="auto"/>
    </w:pPr>
  </w:style>
  <w:style w:type="paragraph" w:styleId="Footer">
    <w:name w:val="footer"/>
    <w:basedOn w:val="Normal"/>
    <w:uiPriority w:val="99"/>
    <w:unhideWhenUsed/>
    <w:rsid w:val="5B39DC88"/>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1131</Words>
  <Characters>6448</Characters>
  <Application>Microsoft Office Word</Application>
  <DocSecurity>0</DocSecurity>
  <Lines>53</Lines>
  <Paragraphs>15</Paragraphs>
  <ScaleCrop>false</ScaleCrop>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Penry</dc:creator>
  <cp:keywords/>
  <dc:description/>
  <cp:lastModifiedBy>Harsha Center</cp:lastModifiedBy>
  <cp:revision>2</cp:revision>
  <dcterms:created xsi:type="dcterms:W3CDTF">2026-08-12T15:20:00Z</dcterms:created>
  <dcterms:modified xsi:type="dcterms:W3CDTF">2026-08-12T15:20:00Z</dcterms:modified>
</cp:coreProperties>
</file>