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9549" w14:textId="13E64AFE"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48BB11F8" w14:textId="2107DEF8"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121EFD7B" w14:textId="3F8BCF0C"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23DF9B31" w14:textId="1D3B66B6"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1636A9C9" w14:textId="555385AE"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196B3034" w14:textId="1B7014F4"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689A157C" w14:textId="7EDC7560"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6E91CE87" w14:textId="334FB092"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1130B4A4" w14:textId="64D29937" w:rsidR="53C8BB70" w:rsidRDefault="53C8BB70" w:rsidP="53C8BB70">
      <w:pPr>
        <w:pStyle w:val="Heading1"/>
        <w:shd w:val="clear" w:color="auto" w:fill="FFFFFF" w:themeFill="background1"/>
        <w:spacing w:before="0" w:after="0"/>
        <w:jc w:val="center"/>
        <w:rPr>
          <w:rFonts w:ascii="Times New Roman" w:eastAsia="Times New Roman" w:hAnsi="Times New Roman" w:cs="Times New Roman"/>
          <w:color w:val="auto"/>
          <w:sz w:val="24"/>
          <w:szCs w:val="24"/>
        </w:rPr>
      </w:pPr>
    </w:p>
    <w:p w14:paraId="4980595A" w14:textId="24C8739A" w:rsidR="53C8BB70" w:rsidRDefault="53C8BB70" w:rsidP="53C8BB70">
      <w:pPr>
        <w:pStyle w:val="Heading1"/>
        <w:shd w:val="clear" w:color="auto" w:fill="FFFFFF" w:themeFill="background1"/>
        <w:spacing w:before="0" w:after="0" w:line="480" w:lineRule="auto"/>
        <w:jc w:val="center"/>
        <w:rPr>
          <w:rFonts w:ascii="Times New Roman" w:eastAsia="Times New Roman" w:hAnsi="Times New Roman" w:cs="Times New Roman"/>
          <w:color w:val="auto"/>
          <w:sz w:val="24"/>
          <w:szCs w:val="24"/>
        </w:rPr>
      </w:pPr>
    </w:p>
    <w:p w14:paraId="5567A39A" w14:textId="3F60677D" w:rsidR="56281A8D" w:rsidRDefault="56281A8D" w:rsidP="53C8BB70">
      <w:pPr>
        <w:pStyle w:val="Heading1"/>
        <w:shd w:val="clear" w:color="auto" w:fill="FFFFFF" w:themeFill="background1"/>
        <w:spacing w:before="0" w:after="0" w:line="480" w:lineRule="auto"/>
        <w:jc w:val="center"/>
        <w:rPr>
          <w:rFonts w:ascii="Times New Roman" w:eastAsia="Times New Roman" w:hAnsi="Times New Roman" w:cs="Times New Roman"/>
          <w:color w:val="auto"/>
          <w:sz w:val="24"/>
          <w:szCs w:val="24"/>
        </w:rPr>
      </w:pPr>
      <w:r w:rsidRPr="53C8BB70">
        <w:rPr>
          <w:rFonts w:ascii="Times New Roman" w:eastAsia="Times New Roman" w:hAnsi="Times New Roman" w:cs="Times New Roman"/>
          <w:color w:val="auto"/>
          <w:sz w:val="24"/>
          <w:szCs w:val="24"/>
        </w:rPr>
        <w:t>Module 7: Return on Investment ROI</w:t>
      </w:r>
    </w:p>
    <w:p w14:paraId="3E6CD48C" w14:textId="151971F1" w:rsidR="56281A8D" w:rsidRDefault="56281A8D" w:rsidP="53C8BB70">
      <w:pPr>
        <w:spacing w:line="480" w:lineRule="auto"/>
        <w:jc w:val="center"/>
        <w:rPr>
          <w:rFonts w:ascii="Times New Roman" w:eastAsia="Times New Roman" w:hAnsi="Times New Roman" w:cs="Times New Roman"/>
        </w:rPr>
      </w:pPr>
      <w:r w:rsidRPr="53C8BB70">
        <w:rPr>
          <w:rFonts w:ascii="Times New Roman" w:eastAsia="Times New Roman" w:hAnsi="Times New Roman" w:cs="Times New Roman"/>
        </w:rPr>
        <w:t>Hannah Penry, MA, BCBA</w:t>
      </w:r>
    </w:p>
    <w:p w14:paraId="7C0D3B96" w14:textId="430392CA" w:rsidR="56281A8D" w:rsidRDefault="56281A8D" w:rsidP="53C8BB70">
      <w:pPr>
        <w:spacing w:line="480" w:lineRule="auto"/>
        <w:jc w:val="center"/>
        <w:rPr>
          <w:rFonts w:ascii="Times New Roman" w:eastAsia="Times New Roman" w:hAnsi="Times New Roman" w:cs="Times New Roman"/>
        </w:rPr>
      </w:pPr>
      <w:r w:rsidRPr="53C8BB70">
        <w:rPr>
          <w:rFonts w:ascii="Times New Roman" w:eastAsia="Times New Roman" w:hAnsi="Times New Roman" w:cs="Times New Roman"/>
        </w:rPr>
        <w:t>Arizona State University</w:t>
      </w:r>
    </w:p>
    <w:p w14:paraId="15D00C45" w14:textId="1A71A563" w:rsidR="56281A8D" w:rsidRDefault="56281A8D" w:rsidP="53C8BB70">
      <w:pPr>
        <w:spacing w:line="480" w:lineRule="auto"/>
        <w:jc w:val="center"/>
        <w:rPr>
          <w:rFonts w:ascii="Times New Roman" w:eastAsia="Times New Roman" w:hAnsi="Times New Roman" w:cs="Times New Roman"/>
        </w:rPr>
      </w:pPr>
      <w:r w:rsidRPr="53C8BB70">
        <w:rPr>
          <w:rFonts w:ascii="Times New Roman" w:eastAsia="Times New Roman" w:hAnsi="Times New Roman" w:cs="Times New Roman"/>
        </w:rPr>
        <w:t>IBC 611: Population-Based Health Management (Fall 2024-B)</w:t>
      </w:r>
    </w:p>
    <w:p w14:paraId="0AC6A339" w14:textId="621E582E" w:rsidR="56281A8D" w:rsidRDefault="56281A8D" w:rsidP="53C8BB70">
      <w:pPr>
        <w:spacing w:line="480" w:lineRule="auto"/>
        <w:jc w:val="center"/>
        <w:rPr>
          <w:rFonts w:ascii="Times New Roman" w:eastAsia="Times New Roman" w:hAnsi="Times New Roman" w:cs="Times New Roman"/>
        </w:rPr>
      </w:pPr>
      <w:r w:rsidRPr="53C8BB70">
        <w:rPr>
          <w:rFonts w:ascii="Times New Roman" w:eastAsia="Times New Roman" w:hAnsi="Times New Roman" w:cs="Times New Roman"/>
        </w:rPr>
        <w:t xml:space="preserve">Instructor: Ronald R. O'Donnell, Ph.D.  </w:t>
      </w:r>
    </w:p>
    <w:p w14:paraId="0CF1C57D" w14:textId="6F2873B1" w:rsidR="53C8BB70" w:rsidRDefault="53C8BB70" w:rsidP="53C8BB70">
      <w:pPr>
        <w:spacing w:line="480" w:lineRule="auto"/>
      </w:pPr>
      <w:r>
        <w:br w:type="page"/>
      </w:r>
    </w:p>
    <w:p w14:paraId="478B2F1E" w14:textId="76A4A1B1" w:rsidR="53C8BB70" w:rsidRDefault="53C8BB70" w:rsidP="53C8BB70">
      <w:pPr>
        <w:jc w:val="center"/>
        <w:rPr>
          <w:rFonts w:ascii="Times New Roman" w:eastAsia="Times New Roman" w:hAnsi="Times New Roman" w:cs="Times New Roman"/>
        </w:rPr>
      </w:pPr>
    </w:p>
    <w:p w14:paraId="4F92D79C" w14:textId="0617B8D4" w:rsidR="69FB908A" w:rsidRDefault="69FB908A" w:rsidP="53C8BB70">
      <w:pPr>
        <w:pStyle w:val="Heading1"/>
        <w:shd w:val="clear" w:color="auto" w:fill="FFFFFF" w:themeFill="background1"/>
        <w:spacing w:before="0" w:after="0"/>
        <w:jc w:val="center"/>
        <w:rPr>
          <w:rFonts w:ascii="Times New Roman" w:eastAsia="Times New Roman" w:hAnsi="Times New Roman" w:cs="Times New Roman"/>
          <w:b/>
          <w:bCs/>
          <w:color w:val="auto"/>
          <w:sz w:val="24"/>
          <w:szCs w:val="24"/>
        </w:rPr>
      </w:pPr>
      <w:r w:rsidRPr="53C8BB70">
        <w:rPr>
          <w:rFonts w:ascii="Times New Roman" w:eastAsia="Times New Roman" w:hAnsi="Times New Roman" w:cs="Times New Roman"/>
          <w:b/>
          <w:bCs/>
          <w:color w:val="auto"/>
          <w:sz w:val="24"/>
          <w:szCs w:val="24"/>
        </w:rPr>
        <w:t>Module 7: Return on Investment ROI</w:t>
      </w:r>
    </w:p>
    <w:p w14:paraId="62858825" w14:textId="17D266E6" w:rsidR="22250CC8" w:rsidRDefault="22250CC8" w:rsidP="53C8BB70">
      <w:pPr>
        <w:spacing w:line="480" w:lineRule="auto"/>
        <w:rPr>
          <w:rFonts w:ascii="Times New Roman" w:eastAsia="Times New Roman" w:hAnsi="Times New Roman" w:cs="Times New Roman"/>
          <w:b/>
          <w:bCs/>
        </w:rPr>
      </w:pPr>
      <w:r w:rsidRPr="53C8BB70">
        <w:rPr>
          <w:rFonts w:ascii="Times New Roman" w:eastAsia="Times New Roman" w:hAnsi="Times New Roman" w:cs="Times New Roman"/>
          <w:b/>
          <w:bCs/>
        </w:rPr>
        <w:t>Introduction</w:t>
      </w:r>
    </w:p>
    <w:p w14:paraId="1A5B0953" w14:textId="6122051A" w:rsidR="51C212F6" w:rsidRDefault="51C212F6" w:rsidP="53C8BB70">
      <w:pPr>
        <w:shd w:val="clear" w:color="auto" w:fill="FFFFFF" w:themeFill="background1"/>
        <w:spacing w:after="21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The Population Health Management (PHM) program is designed to generate a significant return on investment (ROI) by enhancing clinical outcomes and reducing healthcare costs and utilization for patients. This comprehensive program employs a tiered approach that stratifies patients based on their risk levels, ensuring that each patient receives the most appropriate level of care. The primary interventions utilized in this program are Cognitive Behavioral Therapy for Insomnia (CBT-I) and Mindfulness-Based Stress Reduction (MBSR).</w:t>
      </w:r>
    </w:p>
    <w:p w14:paraId="47D280C5" w14:textId="013AAA78" w:rsidR="51C212F6" w:rsidRDefault="51C212F6" w:rsidP="53C8BB70">
      <w:pPr>
        <w:shd w:val="clear" w:color="auto" w:fill="FFFFFF" w:themeFill="background1"/>
        <w:spacing w:after="210" w:line="480" w:lineRule="auto"/>
        <w:ind w:firstLine="720"/>
        <w:rPr>
          <w:rFonts w:ascii="Times New Roman" w:eastAsia="Times New Roman" w:hAnsi="Times New Roman" w:cs="Times New Roman"/>
        </w:rPr>
      </w:pPr>
      <w:bookmarkStart w:id="0" w:name="_Int_aSwAwM4v"/>
      <w:r w:rsidRPr="53C8BB70">
        <w:rPr>
          <w:rFonts w:ascii="Times New Roman" w:eastAsia="Times New Roman" w:hAnsi="Times New Roman" w:cs="Times New Roman"/>
        </w:rPr>
        <w:t>CBT-I is a structured program that helps individuals identify and replace thoughts and behaviors that cause or worsen sleep problems with habits that promote sound sleep. MBSR, on the other hand, is a therapeutic approach that combines mindfulness meditation and yoga to help individuals manage stress. Together, these interventions are expected to significantly enhance overall patient well-being by reducing symptoms of insomnia and stress.</w:t>
      </w:r>
      <w:bookmarkEnd w:id="0"/>
    </w:p>
    <w:p w14:paraId="70131EA2" w14:textId="2BEC98C8" w:rsidR="51C212F6" w:rsidRDefault="51C212F6" w:rsidP="53C8BB70">
      <w:pPr>
        <w:shd w:val="clear" w:color="auto" w:fill="FFFFFF" w:themeFill="background1"/>
        <w:spacing w:after="21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By addressing these issues, the program aims to decrease the need for more intensive healthcare services. This includes reducing the frequency of hospital stays and emergency room visits, which are often costly and indicative of severe health issues. Additionally, the program is designed to lower overall healthcare costs by preventing the escalation of health problems that require expensive treatments and interventions.</w:t>
      </w:r>
    </w:p>
    <w:p w14:paraId="43D9B8BF" w14:textId="3095FE65" w:rsidR="51C212F6" w:rsidRDefault="51C212F6" w:rsidP="53C8BB70">
      <w:pPr>
        <w:shd w:val="clear" w:color="auto" w:fill="FFFFFF" w:themeFill="background1"/>
        <w:spacing w:after="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 xml:space="preserve">The PHM program's holistic approach not only targets immediate health concerns but also promotes long-term health and wellness. By improving sleep quality and stress management, patients are likely to experience better overall health outcomes, which in turn </w:t>
      </w:r>
      <w:r w:rsidRPr="53C8BB70">
        <w:rPr>
          <w:rFonts w:ascii="Times New Roman" w:eastAsia="Times New Roman" w:hAnsi="Times New Roman" w:cs="Times New Roman"/>
        </w:rPr>
        <w:lastRenderedPageBreak/>
        <w:t>reduces the burden on healthcare systems. This strategic focus on preventive care and patient education is expected to yield substantial cost savings and improve the quality of life for patients, thereby achieving the dual goals of improved clinical outcomes and reduced healthcare expenditures.</w:t>
      </w:r>
    </w:p>
    <w:p w14:paraId="0577B2AC" w14:textId="337859E6" w:rsidR="22250CC8" w:rsidRDefault="22250CC8" w:rsidP="53C8BB70">
      <w:pPr>
        <w:spacing w:line="480" w:lineRule="auto"/>
        <w:rPr>
          <w:rFonts w:ascii="Times New Roman" w:eastAsia="Times New Roman" w:hAnsi="Times New Roman" w:cs="Times New Roman"/>
          <w:b/>
          <w:bCs/>
        </w:rPr>
      </w:pPr>
      <w:r w:rsidRPr="53C8BB70">
        <w:rPr>
          <w:rFonts w:ascii="Times New Roman" w:eastAsia="Times New Roman" w:hAnsi="Times New Roman" w:cs="Times New Roman"/>
          <w:b/>
          <w:bCs/>
        </w:rPr>
        <w:t>Program Cost</w:t>
      </w:r>
    </w:p>
    <w:p w14:paraId="06CC9BD0" w14:textId="6C6369E1" w:rsidR="15309EFC" w:rsidRDefault="15309EFC" w:rsidP="53C8BB70">
      <w:pPr>
        <w:shd w:val="clear" w:color="auto" w:fill="FFFFFF" w:themeFill="background1"/>
        <w:spacing w:after="21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For the successful implementation of this program, a Behavioral Health Consultant (BHC), a psychologist, a Primary Care Physician (PCP), and a nurse are required. Since the clinic already employs a PCP, the associated cost for this role will not be included in the program's budget. However, due to the nurse's need to have daily appointments with providers, it is necessary to hire an additional nurse, which will be factored into the program's expenses. Furthermore, an office administrator will be essential to manage the scheduling of these ongoing appointments efficiently.</w:t>
      </w:r>
    </w:p>
    <w:p w14:paraId="14889326" w14:textId="2A3D7588" w:rsidR="15309EFC" w:rsidRDefault="15309EFC" w:rsidP="53C8BB70">
      <w:pPr>
        <w:shd w:val="clear" w:color="auto" w:fill="FFFFFF" w:themeFill="background1"/>
        <w:spacing w:after="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The comprehensive annual cost of the program encompasses the salaries for the psychologist, the BHC, the additional nurse, and the office administrator. It also includes the expenses for the Electronic Health Record (EHR) system, cell phones, tablets, laptops, as well as the costs associated with training, assessment, and necessary licensing. Altogether, these components bring the total annual cost of the program to $412,056.99</w:t>
      </w:r>
      <w:r w:rsidR="3DEA261F" w:rsidRPr="53C8BB70">
        <w:rPr>
          <w:rFonts w:ascii="Times New Roman" w:eastAsia="Times New Roman" w:hAnsi="Times New Roman" w:cs="Times New Roman"/>
        </w:rPr>
        <w:t xml:space="preserve"> as shown in Table 1. </w:t>
      </w:r>
      <w:r w:rsidRPr="53C8BB70">
        <w:rPr>
          <w:rFonts w:ascii="Times New Roman" w:eastAsia="Times New Roman" w:hAnsi="Times New Roman" w:cs="Times New Roman"/>
        </w:rPr>
        <w:t>This budget ensures that all essential personnel and resources are adequately covered to support the program's objectives and operations.</w:t>
      </w:r>
    </w:p>
    <w:p w14:paraId="082A0551" w14:textId="52CCC97A" w:rsidR="6BFFDB64" w:rsidRDefault="6BFFDB64" w:rsidP="53C8BB70">
      <w:pPr>
        <w:spacing w:line="480" w:lineRule="auto"/>
        <w:rPr>
          <w:rFonts w:ascii="Times New Roman" w:eastAsia="Times New Roman" w:hAnsi="Times New Roman" w:cs="Times New Roman"/>
          <w:b/>
          <w:bCs/>
        </w:rPr>
      </w:pPr>
      <w:r w:rsidRPr="53C8BB70">
        <w:rPr>
          <w:rFonts w:ascii="Times New Roman" w:eastAsia="Times New Roman" w:hAnsi="Times New Roman" w:cs="Times New Roman"/>
          <w:b/>
          <w:bCs/>
        </w:rPr>
        <w:t xml:space="preserve">Table 1: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36"/>
        <w:gridCol w:w="2784"/>
        <w:gridCol w:w="2799"/>
        <w:gridCol w:w="1940"/>
      </w:tblGrid>
      <w:tr w:rsidR="53C8BB70" w14:paraId="639C55DC" w14:textId="77777777" w:rsidTr="53C8BB70">
        <w:trPr>
          <w:trHeight w:val="300"/>
        </w:trPr>
        <w:tc>
          <w:tcPr>
            <w:tcW w:w="1836" w:type="dxa"/>
            <w:shd w:val="clear" w:color="auto" w:fill="D1D1D1" w:themeFill="background2" w:themeFillShade="E6"/>
            <w:tcMar>
              <w:left w:w="105" w:type="dxa"/>
              <w:right w:w="105" w:type="dxa"/>
            </w:tcMar>
          </w:tcPr>
          <w:p w14:paraId="14AC6643" w14:textId="58705936"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b/>
                <w:bCs/>
              </w:rPr>
              <w:t>Cost Category</w:t>
            </w:r>
          </w:p>
        </w:tc>
        <w:tc>
          <w:tcPr>
            <w:tcW w:w="2784" w:type="dxa"/>
            <w:shd w:val="clear" w:color="auto" w:fill="D1D1D1" w:themeFill="background2" w:themeFillShade="E6"/>
            <w:tcMar>
              <w:left w:w="105" w:type="dxa"/>
              <w:right w:w="105" w:type="dxa"/>
            </w:tcMar>
          </w:tcPr>
          <w:p w14:paraId="10EC45A7" w14:textId="6326AB25"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b/>
                <w:bCs/>
              </w:rPr>
              <w:t>Description</w:t>
            </w:r>
          </w:p>
        </w:tc>
        <w:tc>
          <w:tcPr>
            <w:tcW w:w="2799" w:type="dxa"/>
            <w:shd w:val="clear" w:color="auto" w:fill="D1D1D1" w:themeFill="background2" w:themeFillShade="E6"/>
            <w:tcMar>
              <w:left w:w="105" w:type="dxa"/>
              <w:right w:w="105" w:type="dxa"/>
            </w:tcMar>
          </w:tcPr>
          <w:p w14:paraId="46FEAD9E" w14:textId="6BEE21DA"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b/>
                <w:bCs/>
              </w:rPr>
              <w:t>Unit Costs</w:t>
            </w:r>
          </w:p>
        </w:tc>
        <w:tc>
          <w:tcPr>
            <w:tcW w:w="1940" w:type="dxa"/>
            <w:shd w:val="clear" w:color="auto" w:fill="D1D1D1" w:themeFill="background2" w:themeFillShade="E6"/>
            <w:tcMar>
              <w:left w:w="105" w:type="dxa"/>
              <w:right w:w="105" w:type="dxa"/>
            </w:tcMar>
          </w:tcPr>
          <w:p w14:paraId="0DE17515" w14:textId="2B09DA89"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b/>
                <w:bCs/>
              </w:rPr>
              <w:t>Total Cost (USD)</w:t>
            </w:r>
          </w:p>
        </w:tc>
      </w:tr>
      <w:tr w:rsidR="53C8BB70" w14:paraId="1E10319B" w14:textId="77777777" w:rsidTr="53C8BB70">
        <w:trPr>
          <w:trHeight w:val="300"/>
        </w:trPr>
        <w:tc>
          <w:tcPr>
            <w:tcW w:w="1836" w:type="dxa"/>
            <w:tcMar>
              <w:left w:w="105" w:type="dxa"/>
              <w:right w:w="105" w:type="dxa"/>
            </w:tcMar>
          </w:tcPr>
          <w:p w14:paraId="2FE4B33B" w14:textId="59C99DC1"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Psychologist </w:t>
            </w:r>
          </w:p>
        </w:tc>
        <w:tc>
          <w:tcPr>
            <w:tcW w:w="2784" w:type="dxa"/>
            <w:tcMar>
              <w:left w:w="105" w:type="dxa"/>
              <w:right w:w="105" w:type="dxa"/>
            </w:tcMar>
          </w:tcPr>
          <w:p w14:paraId="04A5B2B7" w14:textId="56C40565"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$104,477 + 25% Benefits (Govesalries, 2024d)</w:t>
            </w:r>
          </w:p>
        </w:tc>
        <w:tc>
          <w:tcPr>
            <w:tcW w:w="2799" w:type="dxa"/>
            <w:tcMar>
              <w:left w:w="105" w:type="dxa"/>
              <w:right w:w="105" w:type="dxa"/>
            </w:tcMar>
          </w:tcPr>
          <w:p w14:paraId="73EB2D26" w14:textId="1A4707EC"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Benefits: $26,119.25</w:t>
            </w:r>
          </w:p>
        </w:tc>
        <w:tc>
          <w:tcPr>
            <w:tcW w:w="1940" w:type="dxa"/>
            <w:tcMar>
              <w:left w:w="105" w:type="dxa"/>
              <w:right w:w="105" w:type="dxa"/>
            </w:tcMar>
          </w:tcPr>
          <w:p w14:paraId="56B72DBE" w14:textId="51772DF9"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$130,596.25</w:t>
            </w:r>
          </w:p>
        </w:tc>
      </w:tr>
      <w:tr w:rsidR="53C8BB70" w14:paraId="467FF978" w14:textId="77777777" w:rsidTr="53C8BB70">
        <w:trPr>
          <w:trHeight w:val="300"/>
        </w:trPr>
        <w:tc>
          <w:tcPr>
            <w:tcW w:w="1836" w:type="dxa"/>
            <w:tcMar>
              <w:left w:w="105" w:type="dxa"/>
              <w:right w:w="105" w:type="dxa"/>
            </w:tcMar>
          </w:tcPr>
          <w:p w14:paraId="20707738" w14:textId="7E2E8563"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lastRenderedPageBreak/>
              <w:t>BHC Salary</w:t>
            </w:r>
          </w:p>
        </w:tc>
        <w:tc>
          <w:tcPr>
            <w:tcW w:w="2784" w:type="dxa"/>
            <w:tcMar>
              <w:left w:w="105" w:type="dxa"/>
              <w:right w:w="105" w:type="dxa"/>
            </w:tcMar>
          </w:tcPr>
          <w:p w14:paraId="5B2C91CD" w14:textId="16B622DC" w:rsidR="53C8BB70" w:rsidRDefault="53C8BB70" w:rsidP="53C8BB70">
            <w:pPr>
              <w:shd w:val="clear" w:color="auto" w:fill="FFFFFF" w:themeFill="background1"/>
              <w:spacing w:after="210"/>
              <w:rPr>
                <w:rFonts w:ascii="Times New Roman" w:eastAsia="Times New Roman" w:hAnsi="Times New Roman" w:cs="Times New Roman"/>
              </w:rPr>
            </w:pPr>
            <w:r w:rsidRPr="53C8BB70">
              <w:rPr>
                <w:rFonts w:ascii="Times New Roman" w:eastAsia="Times New Roman" w:hAnsi="Times New Roman" w:cs="Times New Roman"/>
              </w:rPr>
              <w:t>$124,787 +25% benefits (GovSalaries, 2024a)</w:t>
            </w:r>
          </w:p>
        </w:tc>
        <w:tc>
          <w:tcPr>
            <w:tcW w:w="2799" w:type="dxa"/>
            <w:tcMar>
              <w:left w:w="105" w:type="dxa"/>
              <w:right w:w="105" w:type="dxa"/>
            </w:tcMar>
          </w:tcPr>
          <w:p w14:paraId="699835C8" w14:textId="7ED0E7DF"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Benefits: $31,196.75</w:t>
            </w:r>
          </w:p>
        </w:tc>
        <w:tc>
          <w:tcPr>
            <w:tcW w:w="1940" w:type="dxa"/>
            <w:tcMar>
              <w:left w:w="105" w:type="dxa"/>
              <w:right w:w="105" w:type="dxa"/>
            </w:tcMar>
          </w:tcPr>
          <w:p w14:paraId="036F2893" w14:textId="0D09E196"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$155,983.75</w:t>
            </w:r>
          </w:p>
        </w:tc>
      </w:tr>
      <w:tr w:rsidR="53C8BB70" w14:paraId="364E51DC" w14:textId="77777777" w:rsidTr="53C8BB70">
        <w:trPr>
          <w:trHeight w:val="300"/>
        </w:trPr>
        <w:tc>
          <w:tcPr>
            <w:tcW w:w="1836" w:type="dxa"/>
            <w:tcMar>
              <w:left w:w="105" w:type="dxa"/>
              <w:right w:w="105" w:type="dxa"/>
            </w:tcMar>
          </w:tcPr>
          <w:p w14:paraId="44DA69D0" w14:textId="063BB74B"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Nurse Salary</w:t>
            </w:r>
          </w:p>
        </w:tc>
        <w:tc>
          <w:tcPr>
            <w:tcW w:w="2784" w:type="dxa"/>
            <w:tcMar>
              <w:left w:w="105" w:type="dxa"/>
              <w:right w:w="105" w:type="dxa"/>
            </w:tcMar>
          </w:tcPr>
          <w:p w14:paraId="262DA2C6" w14:textId="599858DB"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$102,700 +25% benefits (GovSalaries, 2024e)</w:t>
            </w:r>
          </w:p>
        </w:tc>
        <w:tc>
          <w:tcPr>
            <w:tcW w:w="2799" w:type="dxa"/>
            <w:tcMar>
              <w:left w:w="105" w:type="dxa"/>
              <w:right w:w="105" w:type="dxa"/>
            </w:tcMar>
          </w:tcPr>
          <w:p w14:paraId="79D37127" w14:textId="42C6139D"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Benefits: $25,675.00</w:t>
            </w:r>
          </w:p>
        </w:tc>
        <w:tc>
          <w:tcPr>
            <w:tcW w:w="1940" w:type="dxa"/>
            <w:tcMar>
              <w:left w:w="105" w:type="dxa"/>
              <w:right w:w="105" w:type="dxa"/>
            </w:tcMar>
          </w:tcPr>
          <w:p w14:paraId="53E8D138" w14:textId="05E60B8B"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$128,375.00</w:t>
            </w:r>
          </w:p>
        </w:tc>
      </w:tr>
      <w:tr w:rsidR="53C8BB70" w14:paraId="2CF7533F" w14:textId="77777777" w:rsidTr="53C8BB70">
        <w:trPr>
          <w:trHeight w:val="300"/>
        </w:trPr>
        <w:tc>
          <w:tcPr>
            <w:tcW w:w="1836" w:type="dxa"/>
            <w:tcMar>
              <w:left w:w="105" w:type="dxa"/>
              <w:right w:w="105" w:type="dxa"/>
            </w:tcMar>
          </w:tcPr>
          <w:p w14:paraId="79D9C1E6" w14:textId="27E42BBB"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EHR System </w:t>
            </w:r>
          </w:p>
        </w:tc>
        <w:tc>
          <w:tcPr>
            <w:tcW w:w="2784" w:type="dxa"/>
            <w:tcMar>
              <w:left w:w="105" w:type="dxa"/>
              <w:right w:w="105" w:type="dxa"/>
            </w:tcMar>
          </w:tcPr>
          <w:p w14:paraId="362F664D" w14:textId="59F06B6D"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PracticeEHR System </w:t>
            </w:r>
          </w:p>
        </w:tc>
        <w:tc>
          <w:tcPr>
            <w:tcW w:w="2799" w:type="dxa"/>
            <w:tcMar>
              <w:left w:w="105" w:type="dxa"/>
              <w:right w:w="105" w:type="dxa"/>
            </w:tcMar>
          </w:tcPr>
          <w:p w14:paraId="7EB72CEA" w14:textId="57BBFF06"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$2,480 per month (Kaur, B., 2022)</w:t>
            </w:r>
          </w:p>
        </w:tc>
        <w:tc>
          <w:tcPr>
            <w:tcW w:w="1940" w:type="dxa"/>
            <w:tcMar>
              <w:left w:w="105" w:type="dxa"/>
              <w:right w:w="105" w:type="dxa"/>
            </w:tcMar>
          </w:tcPr>
          <w:p w14:paraId="37FFE965" w14:textId="6A49E0FA"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$29,760.00</w:t>
            </w:r>
          </w:p>
        </w:tc>
      </w:tr>
      <w:tr w:rsidR="53C8BB70" w14:paraId="0E72B993" w14:textId="77777777" w:rsidTr="53C8BB70">
        <w:trPr>
          <w:trHeight w:val="300"/>
        </w:trPr>
        <w:tc>
          <w:tcPr>
            <w:tcW w:w="1836" w:type="dxa"/>
            <w:tcMar>
              <w:left w:w="105" w:type="dxa"/>
              <w:right w:w="105" w:type="dxa"/>
            </w:tcMar>
          </w:tcPr>
          <w:p w14:paraId="516F12AF" w14:textId="46ED18B7"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Cell phones/Tables </w:t>
            </w:r>
          </w:p>
        </w:tc>
        <w:tc>
          <w:tcPr>
            <w:tcW w:w="2784" w:type="dxa"/>
            <w:tcMar>
              <w:left w:w="105" w:type="dxa"/>
              <w:right w:w="105" w:type="dxa"/>
            </w:tcMar>
          </w:tcPr>
          <w:p w14:paraId="7AC5CE3D" w14:textId="691CDC65"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For communication and program delivery</w:t>
            </w:r>
          </w:p>
        </w:tc>
        <w:tc>
          <w:tcPr>
            <w:tcW w:w="2799" w:type="dxa"/>
            <w:tcMar>
              <w:left w:w="105" w:type="dxa"/>
              <w:right w:w="105" w:type="dxa"/>
            </w:tcMar>
          </w:tcPr>
          <w:p w14:paraId="26B28CA9" w14:textId="648BCA4A"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$500 per provider (Kaur, B., 2022) + 2 for administration tasks </w:t>
            </w:r>
          </w:p>
        </w:tc>
        <w:tc>
          <w:tcPr>
            <w:tcW w:w="1940" w:type="dxa"/>
            <w:tcMar>
              <w:left w:w="105" w:type="dxa"/>
              <w:right w:w="105" w:type="dxa"/>
            </w:tcMar>
          </w:tcPr>
          <w:p w14:paraId="268046B4" w14:textId="15971B23"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$3,000.00</w:t>
            </w:r>
          </w:p>
        </w:tc>
      </w:tr>
      <w:tr w:rsidR="53C8BB70" w14:paraId="79B49CB6" w14:textId="77777777" w:rsidTr="53C8BB70">
        <w:trPr>
          <w:trHeight w:val="300"/>
        </w:trPr>
        <w:tc>
          <w:tcPr>
            <w:tcW w:w="1836" w:type="dxa"/>
            <w:tcMar>
              <w:left w:w="105" w:type="dxa"/>
              <w:right w:w="105" w:type="dxa"/>
            </w:tcMar>
          </w:tcPr>
          <w:p w14:paraId="05A2315A" w14:textId="59A8E57A"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Laptops </w:t>
            </w:r>
          </w:p>
        </w:tc>
        <w:tc>
          <w:tcPr>
            <w:tcW w:w="2784" w:type="dxa"/>
            <w:tcMar>
              <w:left w:w="105" w:type="dxa"/>
              <w:right w:w="105" w:type="dxa"/>
            </w:tcMar>
          </w:tcPr>
          <w:p w14:paraId="7C8C562B" w14:textId="3369EB90"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For BHCs and Nurses </w:t>
            </w:r>
          </w:p>
        </w:tc>
        <w:tc>
          <w:tcPr>
            <w:tcW w:w="2799" w:type="dxa"/>
            <w:tcMar>
              <w:left w:w="105" w:type="dxa"/>
              <w:right w:w="105" w:type="dxa"/>
            </w:tcMar>
          </w:tcPr>
          <w:p w14:paraId="13977E08" w14:textId="149C92B9"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$1,200 per provider (Kaur, B., 2022) + 2 for administration tasks </w:t>
            </w:r>
          </w:p>
        </w:tc>
        <w:tc>
          <w:tcPr>
            <w:tcW w:w="1940" w:type="dxa"/>
            <w:tcMar>
              <w:left w:w="105" w:type="dxa"/>
              <w:right w:w="105" w:type="dxa"/>
            </w:tcMar>
          </w:tcPr>
          <w:p w14:paraId="2DA622D3" w14:textId="3656DA4D"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$7,200.00</w:t>
            </w:r>
          </w:p>
        </w:tc>
      </w:tr>
      <w:tr w:rsidR="53C8BB70" w14:paraId="3FDC3490" w14:textId="77777777" w:rsidTr="53C8BB70">
        <w:trPr>
          <w:trHeight w:val="300"/>
        </w:trPr>
        <w:tc>
          <w:tcPr>
            <w:tcW w:w="1836" w:type="dxa"/>
            <w:tcMar>
              <w:left w:w="105" w:type="dxa"/>
              <w:right w:w="105" w:type="dxa"/>
            </w:tcMar>
          </w:tcPr>
          <w:p w14:paraId="046557F1" w14:textId="1B1487D3"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Administrative Time </w:t>
            </w:r>
          </w:p>
        </w:tc>
        <w:tc>
          <w:tcPr>
            <w:tcW w:w="2784" w:type="dxa"/>
            <w:tcMar>
              <w:left w:w="105" w:type="dxa"/>
              <w:right w:w="105" w:type="dxa"/>
            </w:tcMar>
          </w:tcPr>
          <w:p w14:paraId="14DC1AE8" w14:textId="5439CC9C"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Scheduling, phone calls, emails, and materials </w:t>
            </w:r>
          </w:p>
        </w:tc>
        <w:tc>
          <w:tcPr>
            <w:tcW w:w="2799" w:type="dxa"/>
            <w:tcMar>
              <w:left w:w="105" w:type="dxa"/>
              <w:right w:w="105" w:type="dxa"/>
            </w:tcMar>
          </w:tcPr>
          <w:p w14:paraId="7F66862F" w14:textId="3082B73A"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$44,070 per year for one office administration staff (GovSalaries, 2024c)</w:t>
            </w:r>
          </w:p>
        </w:tc>
        <w:tc>
          <w:tcPr>
            <w:tcW w:w="1940" w:type="dxa"/>
            <w:tcMar>
              <w:left w:w="105" w:type="dxa"/>
              <w:right w:w="105" w:type="dxa"/>
            </w:tcMar>
          </w:tcPr>
          <w:p w14:paraId="14B6A853" w14:textId="6C4DD5A4"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$44,070.00</w:t>
            </w:r>
          </w:p>
        </w:tc>
      </w:tr>
      <w:tr w:rsidR="53C8BB70" w14:paraId="347927E4" w14:textId="77777777" w:rsidTr="53C8BB70">
        <w:trPr>
          <w:trHeight w:val="300"/>
        </w:trPr>
        <w:tc>
          <w:tcPr>
            <w:tcW w:w="1836" w:type="dxa"/>
            <w:tcMar>
              <w:left w:w="105" w:type="dxa"/>
              <w:right w:w="105" w:type="dxa"/>
            </w:tcMar>
          </w:tcPr>
          <w:p w14:paraId="565F6A90" w14:textId="31EB5122"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Screening/Assessment tools </w:t>
            </w:r>
          </w:p>
        </w:tc>
        <w:tc>
          <w:tcPr>
            <w:tcW w:w="2784" w:type="dxa"/>
            <w:tcMar>
              <w:left w:w="105" w:type="dxa"/>
              <w:right w:w="105" w:type="dxa"/>
            </w:tcMar>
          </w:tcPr>
          <w:p w14:paraId="0BC3C9D6" w14:textId="4FC429C2"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Tools for initial and ongoing patient assessments </w:t>
            </w:r>
          </w:p>
        </w:tc>
        <w:tc>
          <w:tcPr>
            <w:tcW w:w="2799" w:type="dxa"/>
            <w:tcMar>
              <w:left w:w="105" w:type="dxa"/>
              <w:right w:w="105" w:type="dxa"/>
            </w:tcMar>
          </w:tcPr>
          <w:p w14:paraId="68183CE3" w14:textId="731B5FC7"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CBT-I Assessment Fee: $295.00 (CBT for Insomnia, n.d.)</w:t>
            </w:r>
          </w:p>
          <w:p w14:paraId="42A53D98" w14:textId="10849B32" w:rsidR="53C8BB70" w:rsidRDefault="53C8BB70" w:rsidP="53C8BB70">
            <w:pPr>
              <w:rPr>
                <w:rFonts w:ascii="Times New Roman" w:eastAsia="Times New Roman" w:hAnsi="Times New Roman" w:cs="Times New Roman"/>
              </w:rPr>
            </w:pPr>
          </w:p>
          <w:p w14:paraId="471732F6" w14:textId="36229840"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MBSR: $300.00</w:t>
            </w:r>
          </w:p>
          <w:p w14:paraId="2B8AF6E0" w14:textId="233EBD94" w:rsidR="53C8BB70" w:rsidRDefault="53C8BB70" w:rsidP="53C8BB70">
            <w:pPr>
              <w:shd w:val="clear" w:color="auto" w:fill="FFFFFF" w:themeFill="background1"/>
              <w:spacing w:after="210"/>
              <w:rPr>
                <w:rFonts w:ascii="Times New Roman" w:eastAsia="Times New Roman" w:hAnsi="Times New Roman" w:cs="Times New Roman"/>
              </w:rPr>
            </w:pPr>
            <w:r w:rsidRPr="53C8BB70">
              <w:rPr>
                <w:rFonts w:ascii="Times New Roman" w:eastAsia="Times New Roman" w:hAnsi="Times New Roman" w:cs="Times New Roman"/>
              </w:rPr>
              <w:t>(Mindful Leader, 2020)</w:t>
            </w:r>
          </w:p>
        </w:tc>
        <w:tc>
          <w:tcPr>
            <w:tcW w:w="1940" w:type="dxa"/>
            <w:tcMar>
              <w:left w:w="105" w:type="dxa"/>
              <w:right w:w="105" w:type="dxa"/>
            </w:tcMar>
          </w:tcPr>
          <w:p w14:paraId="4B0306FF" w14:textId="3D70F8C1"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$595.00-First Year Only Cost</w:t>
            </w:r>
          </w:p>
        </w:tc>
      </w:tr>
      <w:tr w:rsidR="53C8BB70" w14:paraId="28F61CBD" w14:textId="77777777" w:rsidTr="53C8BB70">
        <w:trPr>
          <w:trHeight w:val="300"/>
        </w:trPr>
        <w:tc>
          <w:tcPr>
            <w:tcW w:w="1836" w:type="dxa"/>
            <w:tcMar>
              <w:left w:w="105" w:type="dxa"/>
              <w:right w:w="105" w:type="dxa"/>
            </w:tcMar>
          </w:tcPr>
          <w:p w14:paraId="31D3AB64" w14:textId="58E916C6"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License Fees </w:t>
            </w:r>
          </w:p>
        </w:tc>
        <w:tc>
          <w:tcPr>
            <w:tcW w:w="2784" w:type="dxa"/>
            <w:tcMar>
              <w:left w:w="105" w:type="dxa"/>
              <w:right w:w="105" w:type="dxa"/>
            </w:tcMar>
          </w:tcPr>
          <w:p w14:paraId="725F29D9" w14:textId="11AD1A78"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Software license for program management </w:t>
            </w:r>
          </w:p>
        </w:tc>
        <w:tc>
          <w:tcPr>
            <w:tcW w:w="2799" w:type="dxa"/>
            <w:tcMar>
              <w:left w:w="105" w:type="dxa"/>
              <w:right w:w="105" w:type="dxa"/>
            </w:tcMar>
          </w:tcPr>
          <w:p w14:paraId="3A02BF68" w14:textId="768895F6"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$74 per user per month for four providers (Kaur, B., 2022)</w:t>
            </w:r>
          </w:p>
        </w:tc>
        <w:tc>
          <w:tcPr>
            <w:tcW w:w="1940" w:type="dxa"/>
            <w:tcMar>
              <w:left w:w="105" w:type="dxa"/>
              <w:right w:w="105" w:type="dxa"/>
            </w:tcMar>
          </w:tcPr>
          <w:p w14:paraId="54B63523" w14:textId="4DC7AF43"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$3,552.00 </w:t>
            </w:r>
          </w:p>
        </w:tc>
      </w:tr>
      <w:tr w:rsidR="53C8BB70" w14:paraId="2AD2AF81" w14:textId="77777777" w:rsidTr="53C8BB70">
        <w:trPr>
          <w:trHeight w:val="300"/>
        </w:trPr>
        <w:tc>
          <w:tcPr>
            <w:tcW w:w="1836" w:type="dxa"/>
            <w:tcMar>
              <w:left w:w="105" w:type="dxa"/>
              <w:right w:w="105" w:type="dxa"/>
            </w:tcMar>
          </w:tcPr>
          <w:p w14:paraId="50310C53" w14:textId="2B1A1C58"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 xml:space="preserve">Training </w:t>
            </w:r>
          </w:p>
        </w:tc>
        <w:tc>
          <w:tcPr>
            <w:tcW w:w="2784" w:type="dxa"/>
            <w:tcMar>
              <w:left w:w="105" w:type="dxa"/>
              <w:right w:w="105" w:type="dxa"/>
            </w:tcMar>
          </w:tcPr>
          <w:p w14:paraId="6A17DD58" w14:textId="0D978892"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Staff training on new assessments for the interventions</w:t>
            </w:r>
          </w:p>
        </w:tc>
        <w:tc>
          <w:tcPr>
            <w:tcW w:w="2799" w:type="dxa"/>
            <w:tcMar>
              <w:left w:w="105" w:type="dxa"/>
              <w:right w:w="105" w:type="dxa"/>
            </w:tcMar>
          </w:tcPr>
          <w:p w14:paraId="7EB9FB02" w14:textId="7D8A66AB" w:rsidR="53C8BB70" w:rsidRDefault="53C8BB70" w:rsidP="53C8BB70">
            <w:pPr>
              <w:shd w:val="clear" w:color="auto" w:fill="FFFFFF" w:themeFill="background1"/>
              <w:spacing w:after="210"/>
              <w:rPr>
                <w:rFonts w:ascii="Times New Roman" w:eastAsia="Times New Roman" w:hAnsi="Times New Roman" w:cs="Times New Roman"/>
              </w:rPr>
            </w:pPr>
            <w:r w:rsidRPr="53C8BB70">
              <w:rPr>
                <w:rFonts w:ascii="Times New Roman" w:eastAsia="Times New Roman" w:hAnsi="Times New Roman" w:cs="Times New Roman"/>
              </w:rPr>
              <w:t>CBT-I Assessment Training Fee: $299.99 (CBT for Insomnia, n.d.)</w:t>
            </w:r>
          </w:p>
          <w:p w14:paraId="33B75F85" w14:textId="63E36E8E" w:rsidR="53C8BB70" w:rsidRDefault="53C8BB70" w:rsidP="53C8BB70">
            <w:pPr>
              <w:shd w:val="clear" w:color="auto" w:fill="FFFFFF" w:themeFill="background1"/>
              <w:spacing w:after="210"/>
              <w:rPr>
                <w:rFonts w:ascii="Times New Roman" w:eastAsia="Times New Roman" w:hAnsi="Times New Roman" w:cs="Times New Roman"/>
              </w:rPr>
            </w:pPr>
          </w:p>
          <w:p w14:paraId="6304348A" w14:textId="7F233A58" w:rsidR="53C8BB70" w:rsidRDefault="53C8BB70" w:rsidP="53C8BB70">
            <w:pPr>
              <w:shd w:val="clear" w:color="auto" w:fill="FFFFFF" w:themeFill="background1"/>
              <w:spacing w:after="210"/>
              <w:rPr>
                <w:rFonts w:ascii="Times New Roman" w:eastAsia="Times New Roman" w:hAnsi="Times New Roman" w:cs="Times New Roman"/>
              </w:rPr>
            </w:pPr>
            <w:r w:rsidRPr="53C8BB70">
              <w:rPr>
                <w:rFonts w:ascii="Times New Roman" w:eastAsia="Times New Roman" w:hAnsi="Times New Roman" w:cs="Times New Roman"/>
              </w:rPr>
              <w:t xml:space="preserve">MBSR Training: $1,000.00 (Mindful Leader, 2020). </w:t>
            </w:r>
          </w:p>
        </w:tc>
        <w:tc>
          <w:tcPr>
            <w:tcW w:w="1940" w:type="dxa"/>
            <w:tcMar>
              <w:left w:w="105" w:type="dxa"/>
              <w:right w:w="105" w:type="dxa"/>
            </w:tcMar>
          </w:tcPr>
          <w:p w14:paraId="26843DE4" w14:textId="30B56735"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$1,299.99-First Year Only Cost</w:t>
            </w:r>
          </w:p>
        </w:tc>
      </w:tr>
      <w:tr w:rsidR="53C8BB70" w14:paraId="5D5421E8" w14:textId="77777777" w:rsidTr="53C8BB70">
        <w:trPr>
          <w:trHeight w:val="300"/>
        </w:trPr>
        <w:tc>
          <w:tcPr>
            <w:tcW w:w="1836" w:type="dxa"/>
            <w:tcMar>
              <w:left w:w="105" w:type="dxa"/>
              <w:right w:w="105" w:type="dxa"/>
            </w:tcMar>
          </w:tcPr>
          <w:p w14:paraId="3BB6A09B" w14:textId="07DAE477"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Total Annual Cost</w:t>
            </w:r>
          </w:p>
        </w:tc>
        <w:tc>
          <w:tcPr>
            <w:tcW w:w="2784" w:type="dxa"/>
            <w:tcMar>
              <w:left w:w="105" w:type="dxa"/>
              <w:right w:w="105" w:type="dxa"/>
            </w:tcMar>
          </w:tcPr>
          <w:p w14:paraId="1344D64B" w14:textId="547DA65C" w:rsidR="53C8BB70" w:rsidRDefault="53C8BB70" w:rsidP="53C8BB70">
            <w:pPr>
              <w:rPr>
                <w:rFonts w:ascii="Times New Roman" w:eastAsia="Times New Roman" w:hAnsi="Times New Roman" w:cs="Times New Roman"/>
              </w:rPr>
            </w:pPr>
          </w:p>
        </w:tc>
        <w:tc>
          <w:tcPr>
            <w:tcW w:w="2799" w:type="dxa"/>
            <w:tcMar>
              <w:left w:w="105" w:type="dxa"/>
              <w:right w:w="105" w:type="dxa"/>
            </w:tcMar>
          </w:tcPr>
          <w:p w14:paraId="1E5D2332" w14:textId="6056BC12" w:rsidR="53C8BB70" w:rsidRDefault="53C8BB70" w:rsidP="53C8BB70">
            <w:pPr>
              <w:rPr>
                <w:rFonts w:ascii="Times New Roman" w:eastAsia="Times New Roman" w:hAnsi="Times New Roman" w:cs="Times New Roman"/>
              </w:rPr>
            </w:pPr>
          </w:p>
        </w:tc>
        <w:tc>
          <w:tcPr>
            <w:tcW w:w="1940" w:type="dxa"/>
            <w:tcMar>
              <w:left w:w="105" w:type="dxa"/>
              <w:right w:w="105" w:type="dxa"/>
            </w:tcMar>
          </w:tcPr>
          <w:p w14:paraId="6FB80FEC" w14:textId="37080C5D" w:rsidR="53C8BB70" w:rsidRDefault="53C8BB70" w:rsidP="53C8BB70">
            <w:pPr>
              <w:rPr>
                <w:rFonts w:ascii="Times New Roman" w:eastAsia="Times New Roman" w:hAnsi="Times New Roman" w:cs="Times New Roman"/>
              </w:rPr>
            </w:pPr>
            <w:r w:rsidRPr="53C8BB70">
              <w:rPr>
                <w:rFonts w:ascii="Times New Roman" w:eastAsia="Times New Roman" w:hAnsi="Times New Roman" w:cs="Times New Roman"/>
              </w:rPr>
              <w:t>412,056.99</w:t>
            </w:r>
          </w:p>
        </w:tc>
      </w:tr>
    </w:tbl>
    <w:p w14:paraId="4C071B4E" w14:textId="64F2FC9E" w:rsidR="22250CC8" w:rsidRDefault="22250CC8" w:rsidP="53C8BB70">
      <w:pPr>
        <w:spacing w:line="480" w:lineRule="auto"/>
        <w:rPr>
          <w:rFonts w:ascii="Times New Roman" w:eastAsia="Times New Roman" w:hAnsi="Times New Roman" w:cs="Times New Roman"/>
          <w:b/>
          <w:bCs/>
        </w:rPr>
      </w:pPr>
      <w:r>
        <w:br/>
      </w:r>
      <w:r w:rsidR="235E9DC2" w:rsidRPr="53C8BB70">
        <w:rPr>
          <w:rFonts w:ascii="Times New Roman" w:eastAsia="Times New Roman" w:hAnsi="Times New Roman" w:cs="Times New Roman"/>
          <w:b/>
          <w:bCs/>
        </w:rPr>
        <w:t xml:space="preserve">Cost Savings and ROI: </w:t>
      </w:r>
    </w:p>
    <w:p w14:paraId="09159AD8" w14:textId="568A588F" w:rsidR="69EBA691" w:rsidRDefault="69EBA691" w:rsidP="53C8BB70">
      <w:pPr>
        <w:spacing w:line="480" w:lineRule="auto"/>
        <w:rPr>
          <w:rFonts w:ascii="Times New Roman" w:eastAsia="Times New Roman" w:hAnsi="Times New Roman" w:cs="Times New Roman"/>
        </w:rPr>
      </w:pPr>
      <w:r w:rsidRPr="53C8BB70">
        <w:rPr>
          <w:rFonts w:ascii="Times New Roman" w:eastAsia="Times New Roman" w:hAnsi="Times New Roman" w:cs="Times New Roman"/>
        </w:rPr>
        <w:t xml:space="preserve">The integrated behavioral health </w:t>
      </w:r>
      <w:r w:rsidR="1AC025D3" w:rsidRPr="53C8BB70">
        <w:rPr>
          <w:rFonts w:ascii="Times New Roman" w:eastAsia="Times New Roman" w:hAnsi="Times New Roman" w:cs="Times New Roman"/>
        </w:rPr>
        <w:t>intervention</w:t>
      </w:r>
      <w:r w:rsidRPr="53C8BB70">
        <w:rPr>
          <w:rFonts w:ascii="Times New Roman" w:eastAsia="Times New Roman" w:hAnsi="Times New Roman" w:cs="Times New Roman"/>
        </w:rPr>
        <w:t xml:space="preserve"> is expected to reduce specific medical services due to improved patient self-management and frequent communication with providers. The patients </w:t>
      </w:r>
      <w:r w:rsidRPr="53C8BB70">
        <w:rPr>
          <w:rFonts w:ascii="Times New Roman" w:eastAsia="Times New Roman" w:hAnsi="Times New Roman" w:cs="Times New Roman"/>
        </w:rPr>
        <w:lastRenderedPageBreak/>
        <w:t xml:space="preserve">will be better equipped to manage their chronic conditions effectively which will result in less urgent services </w:t>
      </w:r>
      <w:r w:rsidR="6C69A513" w:rsidRPr="53C8BB70">
        <w:rPr>
          <w:rFonts w:ascii="Times New Roman" w:eastAsia="Times New Roman" w:hAnsi="Times New Roman" w:cs="Times New Roman"/>
        </w:rPr>
        <w:t>being required such as emergency room visits and hospitalizations.</w:t>
      </w:r>
    </w:p>
    <w:p w14:paraId="06196DDB" w14:textId="5070E7EC" w:rsidR="6C69A513" w:rsidRDefault="6C69A513" w:rsidP="53C8BB70">
      <w:pPr>
        <w:shd w:val="clear" w:color="auto" w:fill="FFFFFF" w:themeFill="background1"/>
        <w:spacing w:after="21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 xml:space="preserve">To determine utilization pre-intervention, </w:t>
      </w:r>
      <w:r w:rsidR="770FC404" w:rsidRPr="53C8BB70">
        <w:rPr>
          <w:rFonts w:ascii="Times New Roman" w:eastAsia="Times New Roman" w:hAnsi="Times New Roman" w:cs="Times New Roman"/>
        </w:rPr>
        <w:t>existing</w:t>
      </w:r>
      <w:r w:rsidRPr="53C8BB70">
        <w:rPr>
          <w:rFonts w:ascii="Times New Roman" w:eastAsia="Times New Roman" w:hAnsi="Times New Roman" w:cs="Times New Roman"/>
        </w:rPr>
        <w:t xml:space="preserve"> research on the average utilization for each selected condition over a one-year period will be utilized. For example, research indicates that individuals diagnosed with insomnia incur healthcare costs that are 46% higher than the average. When insomnia is accompanied by comorbidities such as stress, these costs can rise to 80% above the average (Anderson, Whitebird, et al., 2014). Additionally, individuals with insomnia experience an 18.6% higher rate of emergency room visits (Grandner et al., 2023), with the average cost of such visits being approximately $1,389 (Taddei-Allen, 2020). For the 213 patients enrolled in the intervention, if 18.6% of them make an emergency room visit, this would result in approximately 40 ER visits, costing $</w:t>
      </w:r>
      <w:r w:rsidR="2617F41B" w:rsidRPr="53C8BB70">
        <w:rPr>
          <w:rFonts w:ascii="Times New Roman" w:eastAsia="Times New Roman" w:hAnsi="Times New Roman" w:cs="Times New Roman"/>
        </w:rPr>
        <w:t>340,800.00</w:t>
      </w:r>
      <w:r w:rsidRPr="53C8BB70">
        <w:rPr>
          <w:rFonts w:ascii="Times New Roman" w:eastAsia="Times New Roman" w:hAnsi="Times New Roman" w:cs="Times New Roman"/>
        </w:rPr>
        <w:t xml:space="preserve"> annually. Annually, the United States spends $100 billion on treatment for insomnia and anxiety, amounting to approximately $</w:t>
      </w:r>
      <w:proofErr w:type="gramStart"/>
      <w:r w:rsidR="6E6D9D18" w:rsidRPr="53C8BB70">
        <w:rPr>
          <w:rFonts w:ascii="Times New Roman" w:eastAsia="Times New Roman" w:hAnsi="Times New Roman" w:cs="Times New Roman"/>
        </w:rPr>
        <w:t xml:space="preserve">1,046.68 </w:t>
      </w:r>
      <w:r w:rsidRPr="53C8BB70">
        <w:rPr>
          <w:rFonts w:ascii="Times New Roman" w:eastAsia="Times New Roman" w:hAnsi="Times New Roman" w:cs="Times New Roman"/>
        </w:rPr>
        <w:t xml:space="preserve"> per</w:t>
      </w:r>
      <w:proofErr w:type="gramEnd"/>
      <w:r w:rsidRPr="53C8BB70">
        <w:rPr>
          <w:rFonts w:ascii="Times New Roman" w:eastAsia="Times New Roman" w:hAnsi="Times New Roman" w:cs="Times New Roman"/>
        </w:rPr>
        <w:t xml:space="preserve"> person (Taddei-Allen, 2020). For the 213 patients, this translates to an additional $</w:t>
      </w:r>
      <w:r w:rsidR="1BEE37B7" w:rsidRPr="53C8BB70">
        <w:rPr>
          <w:rFonts w:ascii="Times New Roman" w:eastAsia="Times New Roman" w:hAnsi="Times New Roman" w:cs="Times New Roman"/>
        </w:rPr>
        <w:t>296,352</w:t>
      </w:r>
      <w:r w:rsidRPr="53C8BB70">
        <w:rPr>
          <w:rFonts w:ascii="Times New Roman" w:eastAsia="Times New Roman" w:hAnsi="Times New Roman" w:cs="Times New Roman"/>
        </w:rPr>
        <w:t xml:space="preserve"> in healthcare costs each year to treat their anxiety and insomnia</w:t>
      </w:r>
      <w:r w:rsidR="30E8B952" w:rsidRPr="53C8BB70">
        <w:rPr>
          <w:rFonts w:ascii="Times New Roman" w:eastAsia="Times New Roman" w:hAnsi="Times New Roman" w:cs="Times New Roman"/>
        </w:rPr>
        <w:t xml:space="preserve">. </w:t>
      </w:r>
    </w:p>
    <w:p w14:paraId="0D49A1E8" w14:textId="635BD098" w:rsidR="20220730" w:rsidRDefault="20220730" w:rsidP="53C8BB70">
      <w:pPr>
        <w:shd w:val="clear" w:color="auto" w:fill="FFFFFF" w:themeFill="background1"/>
        <w:spacing w:after="210" w:line="480" w:lineRule="auto"/>
        <w:rPr>
          <w:rFonts w:ascii="Times New Roman" w:eastAsia="Times New Roman" w:hAnsi="Times New Roman" w:cs="Times New Roman"/>
        </w:rPr>
      </w:pPr>
      <w:r w:rsidRPr="53C8BB70">
        <w:rPr>
          <w:rFonts w:ascii="Times New Roman" w:eastAsia="Times New Roman" w:hAnsi="Times New Roman" w:cs="Times New Roman"/>
          <w:b/>
          <w:bCs/>
        </w:rPr>
        <w:t>Table 2:</w:t>
      </w:r>
      <w:r w:rsidRPr="53C8BB70">
        <w:rPr>
          <w:rFonts w:ascii="Times New Roman" w:eastAsia="Times New Roman" w:hAnsi="Times New Roman" w:cs="Times New Roman"/>
        </w:rPr>
        <w:t xml:space="preserve"> </w:t>
      </w:r>
    </w:p>
    <w:tbl>
      <w:tblPr>
        <w:tblStyle w:val="TableGrid"/>
        <w:tblW w:w="0" w:type="auto"/>
        <w:tblLayout w:type="fixed"/>
        <w:tblLook w:val="06A0" w:firstRow="1" w:lastRow="0" w:firstColumn="1" w:lastColumn="0" w:noHBand="1" w:noVBand="1"/>
      </w:tblPr>
      <w:tblGrid>
        <w:gridCol w:w="1872"/>
        <w:gridCol w:w="1872"/>
        <w:gridCol w:w="1872"/>
        <w:gridCol w:w="3645"/>
      </w:tblGrid>
      <w:tr w:rsidR="53C8BB70" w14:paraId="00AECE45" w14:textId="77777777" w:rsidTr="53C8BB70">
        <w:trPr>
          <w:trHeight w:val="300"/>
        </w:trPr>
        <w:tc>
          <w:tcPr>
            <w:tcW w:w="1872" w:type="dxa"/>
            <w:shd w:val="clear" w:color="auto" w:fill="D1D1D1" w:themeFill="background2" w:themeFillShade="E6"/>
          </w:tcPr>
          <w:p w14:paraId="0EF374F4" w14:textId="1408E976" w:rsidR="19A74F0C" w:rsidRDefault="19A74F0C" w:rsidP="53C8BB70">
            <w:pPr>
              <w:jc w:val="center"/>
              <w:rPr>
                <w:rFonts w:ascii="Times New Roman" w:eastAsia="Times New Roman" w:hAnsi="Times New Roman" w:cs="Times New Roman"/>
                <w:b/>
                <w:bCs/>
              </w:rPr>
            </w:pPr>
            <w:r w:rsidRPr="53C8BB70">
              <w:rPr>
                <w:rFonts w:ascii="Times New Roman" w:eastAsia="Times New Roman" w:hAnsi="Times New Roman" w:cs="Times New Roman"/>
                <w:b/>
                <w:bCs/>
              </w:rPr>
              <w:t>Description</w:t>
            </w:r>
          </w:p>
        </w:tc>
        <w:tc>
          <w:tcPr>
            <w:tcW w:w="1872" w:type="dxa"/>
            <w:shd w:val="clear" w:color="auto" w:fill="D1D1D1" w:themeFill="background2" w:themeFillShade="E6"/>
          </w:tcPr>
          <w:p w14:paraId="03ACB910" w14:textId="235248FC" w:rsidR="19A74F0C" w:rsidRDefault="19A74F0C" w:rsidP="53C8BB70">
            <w:pPr>
              <w:jc w:val="center"/>
              <w:rPr>
                <w:rFonts w:ascii="Times New Roman" w:eastAsia="Times New Roman" w:hAnsi="Times New Roman" w:cs="Times New Roman"/>
                <w:b/>
                <w:bCs/>
              </w:rPr>
            </w:pPr>
            <w:r w:rsidRPr="53C8BB70">
              <w:rPr>
                <w:rFonts w:ascii="Times New Roman" w:eastAsia="Times New Roman" w:hAnsi="Times New Roman" w:cs="Times New Roman"/>
                <w:b/>
                <w:bCs/>
              </w:rPr>
              <w:t>Mean ED Visits Pre-Intervention</w:t>
            </w:r>
          </w:p>
        </w:tc>
        <w:tc>
          <w:tcPr>
            <w:tcW w:w="1872" w:type="dxa"/>
            <w:shd w:val="clear" w:color="auto" w:fill="D1D1D1" w:themeFill="background2" w:themeFillShade="E6"/>
          </w:tcPr>
          <w:p w14:paraId="7F55CA2B" w14:textId="7B37E1D8" w:rsidR="19A74F0C" w:rsidRDefault="19A74F0C" w:rsidP="53C8BB70">
            <w:pPr>
              <w:jc w:val="center"/>
              <w:rPr>
                <w:rFonts w:ascii="Times New Roman" w:eastAsia="Times New Roman" w:hAnsi="Times New Roman" w:cs="Times New Roman"/>
                <w:b/>
                <w:bCs/>
              </w:rPr>
            </w:pPr>
            <w:r w:rsidRPr="53C8BB70">
              <w:rPr>
                <w:rFonts w:ascii="Times New Roman" w:eastAsia="Times New Roman" w:hAnsi="Times New Roman" w:cs="Times New Roman"/>
                <w:b/>
                <w:bCs/>
              </w:rPr>
              <w:t>Mean ED Visits Post Intervention Year</w:t>
            </w:r>
          </w:p>
        </w:tc>
        <w:tc>
          <w:tcPr>
            <w:tcW w:w="3645" w:type="dxa"/>
            <w:shd w:val="clear" w:color="auto" w:fill="D1D1D1" w:themeFill="background2" w:themeFillShade="E6"/>
          </w:tcPr>
          <w:p w14:paraId="7B31DD5D" w14:textId="554502AA" w:rsidR="19A74F0C" w:rsidRDefault="19A74F0C" w:rsidP="53C8BB70">
            <w:pPr>
              <w:jc w:val="center"/>
              <w:rPr>
                <w:rFonts w:ascii="Times New Roman" w:eastAsia="Times New Roman" w:hAnsi="Times New Roman" w:cs="Times New Roman"/>
                <w:b/>
                <w:bCs/>
              </w:rPr>
            </w:pPr>
            <w:r w:rsidRPr="53C8BB70">
              <w:rPr>
                <w:rFonts w:ascii="Times New Roman" w:eastAsia="Times New Roman" w:hAnsi="Times New Roman" w:cs="Times New Roman"/>
                <w:b/>
                <w:bCs/>
              </w:rPr>
              <w:t xml:space="preserve">Cost Savings=Post-Intervention Minus Pre-Intervention </w:t>
            </w:r>
          </w:p>
        </w:tc>
      </w:tr>
      <w:tr w:rsidR="53C8BB70" w14:paraId="3D8E01CE" w14:textId="77777777" w:rsidTr="53C8BB70">
        <w:trPr>
          <w:trHeight w:val="300"/>
        </w:trPr>
        <w:tc>
          <w:tcPr>
            <w:tcW w:w="1872" w:type="dxa"/>
          </w:tcPr>
          <w:p w14:paraId="0669797A" w14:textId="2C9E21C9" w:rsidR="19A74F0C" w:rsidRDefault="19A74F0C" w:rsidP="53C8BB70">
            <w:pPr>
              <w:rPr>
                <w:rFonts w:ascii="Times New Roman" w:eastAsia="Times New Roman" w:hAnsi="Times New Roman" w:cs="Times New Roman"/>
              </w:rPr>
            </w:pPr>
            <w:r w:rsidRPr="53C8BB70">
              <w:rPr>
                <w:rFonts w:ascii="Times New Roman" w:eastAsia="Times New Roman" w:hAnsi="Times New Roman" w:cs="Times New Roman"/>
              </w:rPr>
              <w:t xml:space="preserve">Mean # of visits for all patients </w:t>
            </w:r>
            <w:r w:rsidR="153E2359" w:rsidRPr="53C8BB70">
              <w:rPr>
                <w:rFonts w:ascii="Times New Roman" w:eastAsia="Times New Roman" w:hAnsi="Times New Roman" w:cs="Times New Roman"/>
              </w:rPr>
              <w:t xml:space="preserve">who complete the program </w:t>
            </w:r>
          </w:p>
        </w:tc>
        <w:tc>
          <w:tcPr>
            <w:tcW w:w="1872" w:type="dxa"/>
          </w:tcPr>
          <w:p w14:paraId="17CA5401" w14:textId="4A21C9C4" w:rsidR="19A74F0C" w:rsidRDefault="19A74F0C" w:rsidP="53C8BB70">
            <w:pPr>
              <w:rPr>
                <w:rFonts w:ascii="Times New Roman" w:eastAsia="Times New Roman" w:hAnsi="Times New Roman" w:cs="Times New Roman"/>
              </w:rPr>
            </w:pPr>
            <w:r w:rsidRPr="53C8BB70">
              <w:rPr>
                <w:rFonts w:ascii="Times New Roman" w:eastAsia="Times New Roman" w:hAnsi="Times New Roman" w:cs="Times New Roman"/>
              </w:rPr>
              <w:t>40</w:t>
            </w:r>
          </w:p>
        </w:tc>
        <w:tc>
          <w:tcPr>
            <w:tcW w:w="1872" w:type="dxa"/>
          </w:tcPr>
          <w:p w14:paraId="3057F0BB" w14:textId="365D34FB" w:rsidR="19A74F0C" w:rsidRDefault="19A74F0C" w:rsidP="53C8BB70">
            <w:pPr>
              <w:rPr>
                <w:rFonts w:ascii="Times New Roman" w:eastAsia="Times New Roman" w:hAnsi="Times New Roman" w:cs="Times New Roman"/>
              </w:rPr>
            </w:pPr>
            <w:r w:rsidRPr="53C8BB70">
              <w:rPr>
                <w:rFonts w:ascii="Times New Roman" w:eastAsia="Times New Roman" w:hAnsi="Times New Roman" w:cs="Times New Roman"/>
              </w:rPr>
              <w:t>32</w:t>
            </w:r>
          </w:p>
        </w:tc>
        <w:tc>
          <w:tcPr>
            <w:tcW w:w="3645" w:type="dxa"/>
          </w:tcPr>
          <w:p w14:paraId="6478BF90" w14:textId="5BB29458" w:rsidR="19A74F0C" w:rsidRDefault="19A74F0C" w:rsidP="53C8BB70">
            <w:pPr>
              <w:rPr>
                <w:rFonts w:ascii="Times New Roman" w:eastAsia="Times New Roman" w:hAnsi="Times New Roman" w:cs="Times New Roman"/>
              </w:rPr>
            </w:pPr>
            <w:r w:rsidRPr="53C8BB70">
              <w:rPr>
                <w:rFonts w:ascii="Times New Roman" w:eastAsia="Times New Roman" w:hAnsi="Times New Roman" w:cs="Times New Roman"/>
              </w:rPr>
              <w:t>40-32=8</w:t>
            </w:r>
          </w:p>
        </w:tc>
      </w:tr>
      <w:tr w:rsidR="53C8BB70" w14:paraId="53932443" w14:textId="77777777" w:rsidTr="53C8BB70">
        <w:trPr>
          <w:trHeight w:val="300"/>
        </w:trPr>
        <w:tc>
          <w:tcPr>
            <w:tcW w:w="1872" w:type="dxa"/>
          </w:tcPr>
          <w:p w14:paraId="115310B5" w14:textId="1224749C" w:rsidR="0EE3E18A" w:rsidRDefault="0EE3E18A" w:rsidP="53C8BB70">
            <w:pPr>
              <w:rPr>
                <w:rFonts w:ascii="Times New Roman" w:eastAsia="Times New Roman" w:hAnsi="Times New Roman" w:cs="Times New Roman"/>
              </w:rPr>
            </w:pPr>
            <w:r w:rsidRPr="53C8BB70">
              <w:rPr>
                <w:rFonts w:ascii="Times New Roman" w:eastAsia="Times New Roman" w:hAnsi="Times New Roman" w:cs="Times New Roman"/>
              </w:rPr>
              <w:t>$1,389 per ED Visit</w:t>
            </w:r>
          </w:p>
        </w:tc>
        <w:tc>
          <w:tcPr>
            <w:tcW w:w="1872" w:type="dxa"/>
          </w:tcPr>
          <w:p w14:paraId="450430D1" w14:textId="4FA9C68A" w:rsidR="0EE3E18A" w:rsidRDefault="0EE3E18A" w:rsidP="53C8BB70">
            <w:pPr>
              <w:rPr>
                <w:rFonts w:ascii="Times New Roman" w:eastAsia="Times New Roman" w:hAnsi="Times New Roman" w:cs="Times New Roman"/>
              </w:rPr>
            </w:pPr>
            <w:r w:rsidRPr="53C8BB70">
              <w:rPr>
                <w:rFonts w:ascii="Times New Roman" w:eastAsia="Times New Roman" w:hAnsi="Times New Roman" w:cs="Times New Roman"/>
              </w:rPr>
              <w:t>$340,800</w:t>
            </w:r>
          </w:p>
        </w:tc>
        <w:tc>
          <w:tcPr>
            <w:tcW w:w="1872" w:type="dxa"/>
          </w:tcPr>
          <w:p w14:paraId="534FA4F2" w14:textId="0C0A0EAE" w:rsidR="0EE3E18A" w:rsidRDefault="0EE3E18A" w:rsidP="53C8BB70">
            <w:pPr>
              <w:rPr>
                <w:rFonts w:ascii="Times New Roman" w:eastAsia="Times New Roman" w:hAnsi="Times New Roman" w:cs="Times New Roman"/>
              </w:rPr>
            </w:pPr>
            <w:r w:rsidRPr="53C8BB70">
              <w:rPr>
                <w:rFonts w:ascii="Times New Roman" w:eastAsia="Times New Roman" w:hAnsi="Times New Roman" w:cs="Times New Roman"/>
              </w:rPr>
              <w:t>$44,448</w:t>
            </w:r>
          </w:p>
        </w:tc>
        <w:tc>
          <w:tcPr>
            <w:tcW w:w="3645" w:type="dxa"/>
          </w:tcPr>
          <w:p w14:paraId="7B04E241" w14:textId="70684832" w:rsidR="0EE3E18A" w:rsidRDefault="0EE3E18A" w:rsidP="53C8BB70">
            <w:pPr>
              <w:rPr>
                <w:rFonts w:ascii="Times New Roman" w:eastAsia="Times New Roman" w:hAnsi="Times New Roman" w:cs="Times New Roman"/>
              </w:rPr>
            </w:pPr>
            <w:r w:rsidRPr="53C8BB70">
              <w:rPr>
                <w:rFonts w:ascii="Times New Roman" w:eastAsia="Times New Roman" w:hAnsi="Times New Roman" w:cs="Times New Roman"/>
              </w:rPr>
              <w:t>$340,800-$44,448= $296,352</w:t>
            </w:r>
          </w:p>
        </w:tc>
      </w:tr>
    </w:tbl>
    <w:p w14:paraId="2A7ADDED" w14:textId="1E9E343A" w:rsidR="53C8BB70" w:rsidRDefault="53C8BB70" w:rsidP="53C8BB70">
      <w:pPr>
        <w:rPr>
          <w:rFonts w:ascii="Times New Roman" w:eastAsia="Times New Roman" w:hAnsi="Times New Roman" w:cs="Times New Roman"/>
        </w:rPr>
      </w:pPr>
    </w:p>
    <w:p w14:paraId="5AE32920" w14:textId="426E77E8" w:rsidR="6C69A513" w:rsidRDefault="6C69A513" w:rsidP="53C8BB70">
      <w:pPr>
        <w:shd w:val="clear" w:color="auto" w:fill="FFFFFF" w:themeFill="background1"/>
        <w:spacing w:after="21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lastRenderedPageBreak/>
        <w:t>The comprehensive annual cost of the program encompasses the salaries for the psychologist, the BHC, the additional nurse, and the office administrator. It also includes the expenses for the Electronic Health Record (EHR) system, cell phones, tablets, laptops, as well as the costs associated with training, assessment, and necessary licensing. Altogether, these components bring the total annual cost of the program to $412,056.99 as shown in Table 1. This budget ensures that all essential personnel and resources are adequately covered to support the program's objectives and operations.</w:t>
      </w:r>
    </w:p>
    <w:p w14:paraId="3DA7883D" w14:textId="4BFFBB2A" w:rsidR="280614A0" w:rsidRDefault="280614A0" w:rsidP="53C8BB70">
      <w:pPr>
        <w:shd w:val="clear" w:color="auto" w:fill="FFFFFF" w:themeFill="background1"/>
        <w:spacing w:after="0"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Implementing this program is expected to result in significant cost savings through reduced medical service utilization, ultimately leading to improved patient outcomes and a more efficient healthcare system.</w:t>
      </w:r>
      <w:r w:rsidR="59F89DDD" w:rsidRPr="53C8BB70">
        <w:rPr>
          <w:rFonts w:ascii="Times New Roman" w:eastAsia="Times New Roman" w:hAnsi="Times New Roman" w:cs="Times New Roman"/>
        </w:rPr>
        <w:t xml:space="preserve"> The total savings per patient is expected to be around $2,435.00 per year, totaling $518,799.84 annually across the patients in the intervention. This amounts to an investment gain of $106,742.85 and an ROI of 25.9%.</w:t>
      </w:r>
      <w:r w:rsidR="70A0DAA7" w:rsidRPr="53C8BB70">
        <w:rPr>
          <w:rFonts w:ascii="Times New Roman" w:eastAsia="Times New Roman" w:hAnsi="Times New Roman" w:cs="Times New Roman"/>
        </w:rPr>
        <w:t xml:space="preserve"> </w:t>
      </w:r>
      <w:r w:rsidR="2D0EF15B" w:rsidRPr="53C8BB70">
        <w:rPr>
          <w:rFonts w:ascii="Times New Roman" w:eastAsia="Times New Roman" w:hAnsi="Times New Roman" w:cs="Times New Roman"/>
        </w:rPr>
        <w:t>Given the net profit of $106,739.85 and the annual investment of $412,059.99, the ratio is approximately 1:1.26.</w:t>
      </w:r>
    </w:p>
    <w:p w14:paraId="3E111DB9" w14:textId="7638FB16" w:rsidR="6C69A513" w:rsidRDefault="6C69A513" w:rsidP="53C8BB70">
      <w:pPr>
        <w:spacing w:line="480" w:lineRule="auto"/>
        <w:rPr>
          <w:rFonts w:ascii="Times New Roman" w:eastAsia="Times New Roman" w:hAnsi="Times New Roman" w:cs="Times New Roman"/>
        </w:rPr>
      </w:pPr>
      <w:r w:rsidRPr="53C8BB70">
        <w:rPr>
          <w:rFonts w:ascii="Times New Roman" w:eastAsia="Times New Roman" w:hAnsi="Times New Roman" w:cs="Times New Roman"/>
          <w:color w:val="000000" w:themeColor="text1"/>
        </w:rPr>
        <w:t xml:space="preserve"> </w:t>
      </w:r>
      <w:r w:rsidR="235E9DC2" w:rsidRPr="53C8BB70">
        <w:rPr>
          <w:rFonts w:ascii="Times New Roman" w:eastAsia="Times New Roman" w:hAnsi="Times New Roman" w:cs="Times New Roman"/>
          <w:b/>
          <w:bCs/>
        </w:rPr>
        <w:t xml:space="preserve">Summary: </w:t>
      </w:r>
      <w:r>
        <w:br/>
      </w:r>
      <w:r>
        <w:tab/>
      </w:r>
      <w:r w:rsidR="235E9DC2" w:rsidRPr="53C8BB70">
        <w:rPr>
          <w:rFonts w:ascii="Times New Roman" w:eastAsia="Times New Roman" w:hAnsi="Times New Roman" w:cs="Times New Roman"/>
        </w:rPr>
        <w:t>The PHM program is designed to improve clinical outcomes and reduce healthcare costs through targeted of CBT-I and MBSR. The program’s annual cost is $412,059.99 which covers essential personnel and resources. Based on research, there is an expected cost savings of $2,435 per patient annually, totaling $518,799</w:t>
      </w:r>
      <w:r w:rsidR="22387051" w:rsidRPr="53C8BB70">
        <w:rPr>
          <w:rFonts w:ascii="Times New Roman" w:eastAsia="Times New Roman" w:hAnsi="Times New Roman" w:cs="Times New Roman"/>
        </w:rPr>
        <w:t>.</w:t>
      </w:r>
      <w:r w:rsidR="235E9DC2" w:rsidRPr="53C8BB70">
        <w:rPr>
          <w:rFonts w:ascii="Times New Roman" w:eastAsia="Times New Roman" w:hAnsi="Times New Roman" w:cs="Times New Roman"/>
        </w:rPr>
        <w:t xml:space="preserve">84 across all patients' annuals. This amounts to an ROI of 25.9%. </w:t>
      </w:r>
    </w:p>
    <w:p w14:paraId="1BB89843" w14:textId="41C63193" w:rsidR="6BD01876" w:rsidRDefault="6BD01876" w:rsidP="53C8BB70">
      <w:pPr>
        <w:spacing w:line="480" w:lineRule="auto"/>
        <w:rPr>
          <w:rFonts w:ascii="Times New Roman" w:eastAsia="Times New Roman" w:hAnsi="Times New Roman" w:cs="Times New Roman"/>
        </w:rPr>
      </w:pPr>
      <w:r w:rsidRPr="53C8BB70">
        <w:rPr>
          <w:rFonts w:ascii="Times New Roman" w:eastAsia="Times New Roman" w:hAnsi="Times New Roman" w:cs="Times New Roman"/>
        </w:rPr>
        <w:t xml:space="preserve">Using a SWOT analysis, the strengths of this proposal include effective interventions, cost savings, and </w:t>
      </w:r>
      <w:proofErr w:type="gramStart"/>
      <w:r w:rsidRPr="53C8BB70">
        <w:rPr>
          <w:rFonts w:ascii="Times New Roman" w:eastAsia="Times New Roman" w:hAnsi="Times New Roman" w:cs="Times New Roman"/>
        </w:rPr>
        <w:t>evidence based</w:t>
      </w:r>
      <w:proofErr w:type="gramEnd"/>
      <w:r w:rsidRPr="53C8BB70">
        <w:rPr>
          <w:rFonts w:ascii="Times New Roman" w:eastAsia="Times New Roman" w:hAnsi="Times New Roman" w:cs="Times New Roman"/>
        </w:rPr>
        <w:t xml:space="preserve"> features. The program is designed to reduce emergency room visits and overall healthcare costs in people with Insomni</w:t>
      </w:r>
      <w:r w:rsidR="1D77DE48" w:rsidRPr="53C8BB70">
        <w:rPr>
          <w:rFonts w:ascii="Times New Roman" w:eastAsia="Times New Roman" w:hAnsi="Times New Roman" w:cs="Times New Roman"/>
        </w:rPr>
        <w:t>a</w:t>
      </w:r>
      <w:r w:rsidRPr="53C8BB70">
        <w:rPr>
          <w:rFonts w:ascii="Times New Roman" w:eastAsia="Times New Roman" w:hAnsi="Times New Roman" w:cs="Times New Roman"/>
        </w:rPr>
        <w:t xml:space="preserve"> and Anxiety. </w:t>
      </w:r>
      <w:r w:rsidR="02D52666" w:rsidRPr="53C8BB70">
        <w:rPr>
          <w:rFonts w:ascii="Times New Roman" w:eastAsia="Times New Roman" w:hAnsi="Times New Roman" w:cs="Times New Roman"/>
        </w:rPr>
        <w:t xml:space="preserve">This leads to savings that are significant per patient and a high ROI. Additionally, the program is backed by evidence-based interventions that provide </w:t>
      </w:r>
      <w:proofErr w:type="gramStart"/>
      <w:r w:rsidR="02D52666" w:rsidRPr="53C8BB70">
        <w:rPr>
          <w:rFonts w:ascii="Times New Roman" w:eastAsia="Times New Roman" w:hAnsi="Times New Roman" w:cs="Times New Roman"/>
        </w:rPr>
        <w:t>high quality</w:t>
      </w:r>
      <w:proofErr w:type="gramEnd"/>
      <w:r w:rsidR="02D52666" w:rsidRPr="53C8BB70">
        <w:rPr>
          <w:rFonts w:ascii="Times New Roman" w:eastAsia="Times New Roman" w:hAnsi="Times New Roman" w:cs="Times New Roman"/>
        </w:rPr>
        <w:t xml:space="preserve"> outcomes for patients. The weaknes</w:t>
      </w:r>
      <w:r w:rsidR="1F78F315" w:rsidRPr="53C8BB70">
        <w:rPr>
          <w:rFonts w:ascii="Times New Roman" w:eastAsia="Times New Roman" w:hAnsi="Times New Roman" w:cs="Times New Roman"/>
        </w:rPr>
        <w:t xml:space="preserve">ses in the program include the initial investment, the patient compliance, and data accuracy. The costs of starting the program and implementing it are high and might not be an </w:t>
      </w:r>
      <w:proofErr w:type="gramStart"/>
      <w:r w:rsidR="1F78F315" w:rsidRPr="53C8BB70">
        <w:rPr>
          <w:rFonts w:ascii="Times New Roman" w:eastAsia="Times New Roman" w:hAnsi="Times New Roman" w:cs="Times New Roman"/>
        </w:rPr>
        <w:t>out of pocket</w:t>
      </w:r>
      <w:proofErr w:type="gramEnd"/>
      <w:r w:rsidR="1F78F315" w:rsidRPr="53C8BB70">
        <w:rPr>
          <w:rFonts w:ascii="Times New Roman" w:eastAsia="Times New Roman" w:hAnsi="Times New Roman" w:cs="Times New Roman"/>
        </w:rPr>
        <w:t xml:space="preserve"> expense that all clinics can afford. Additionally, the success of the program depends on the patient adhering to and following through with a </w:t>
      </w:r>
      <w:proofErr w:type="gramStart"/>
      <w:r w:rsidR="1F78F315" w:rsidRPr="53C8BB70">
        <w:rPr>
          <w:rFonts w:ascii="Times New Roman" w:eastAsia="Times New Roman" w:hAnsi="Times New Roman" w:cs="Times New Roman"/>
        </w:rPr>
        <w:t>long standing</w:t>
      </w:r>
      <w:proofErr w:type="gramEnd"/>
      <w:r w:rsidR="1F78F315" w:rsidRPr="53C8BB70">
        <w:rPr>
          <w:rFonts w:ascii="Times New Roman" w:eastAsia="Times New Roman" w:hAnsi="Times New Roman" w:cs="Times New Roman"/>
        </w:rPr>
        <w:t xml:space="preserve"> inte</w:t>
      </w:r>
      <w:r w:rsidR="2033F14B" w:rsidRPr="53C8BB70">
        <w:rPr>
          <w:rFonts w:ascii="Times New Roman" w:eastAsia="Times New Roman" w:hAnsi="Times New Roman" w:cs="Times New Roman"/>
        </w:rPr>
        <w:t xml:space="preserve">rvention that occurs over several weeks. Finally, the accuracy of the cost savings and the ROI are dependent on data collection and analysis that must be precise. </w:t>
      </w:r>
      <w:r w:rsidR="6736858C" w:rsidRPr="53C8BB70">
        <w:rPr>
          <w:rFonts w:ascii="Times New Roman" w:eastAsia="Times New Roman" w:hAnsi="Times New Roman" w:cs="Times New Roman"/>
        </w:rPr>
        <w:t>According to the Al Lewis in “Why Nobody Believes the Numbers”, the Rules of Plausibility show the important of presenting outcomes that are realistic and based on data. Th</w:t>
      </w:r>
      <w:r w:rsidR="65B3BBC6" w:rsidRPr="53C8BB70">
        <w:rPr>
          <w:rFonts w:ascii="Times New Roman" w:eastAsia="Times New Roman" w:hAnsi="Times New Roman" w:cs="Times New Roman"/>
        </w:rPr>
        <w:t xml:space="preserve">is </w:t>
      </w:r>
      <w:r w:rsidR="6736858C" w:rsidRPr="53C8BB70">
        <w:rPr>
          <w:rFonts w:ascii="Times New Roman" w:eastAsia="Times New Roman" w:hAnsi="Times New Roman" w:cs="Times New Roman"/>
        </w:rPr>
        <w:t>program addresses the Rules of Plausibility through realistic project</w:t>
      </w:r>
      <w:r w:rsidR="6B0503CA" w:rsidRPr="53C8BB70">
        <w:rPr>
          <w:rFonts w:ascii="Times New Roman" w:eastAsia="Times New Roman" w:hAnsi="Times New Roman" w:cs="Times New Roman"/>
        </w:rPr>
        <w:t xml:space="preserve">ions, data transparency, </w:t>
      </w:r>
      <w:r w:rsidR="11F20351" w:rsidRPr="53C8BB70">
        <w:rPr>
          <w:rFonts w:ascii="Times New Roman" w:eastAsia="Times New Roman" w:hAnsi="Times New Roman" w:cs="Times New Roman"/>
        </w:rPr>
        <w:t>continuous evaluation, and stakeholder agreement (Lewis, 2012).</w:t>
      </w:r>
      <w:r w:rsidR="7A5AEE62" w:rsidRPr="53C8BB70">
        <w:rPr>
          <w:rFonts w:ascii="Times New Roman" w:eastAsia="Times New Roman" w:hAnsi="Times New Roman" w:cs="Times New Roman"/>
        </w:rPr>
        <w:t xml:space="preserve"> The cost savings and ROI calculations are grounded in current data and realistic assumptions about patient behavior. Additionally, the program employs robust data collection methods, including regular monitoring and evaluation, to ensure transparency in reporting outcomes and to verify that the reported outcomes are achievable. Finally, the program involves healthcare providers and patients to ensure stakeholder buy-in and support.</w:t>
      </w:r>
    </w:p>
    <w:p w14:paraId="4F64BDB3" w14:textId="71305E49" w:rsidR="2033F14B" w:rsidRDefault="2033F14B" w:rsidP="53C8BB70">
      <w:pPr>
        <w:spacing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 xml:space="preserve">There are both </w:t>
      </w:r>
      <w:r w:rsidR="7133A59F" w:rsidRPr="53C8BB70">
        <w:rPr>
          <w:rFonts w:ascii="Times New Roman" w:eastAsia="Times New Roman" w:hAnsi="Times New Roman" w:cs="Times New Roman"/>
        </w:rPr>
        <w:t>opportunities</w:t>
      </w:r>
      <w:r w:rsidRPr="53C8BB70">
        <w:rPr>
          <w:rFonts w:ascii="Times New Roman" w:eastAsia="Times New Roman" w:hAnsi="Times New Roman" w:cs="Times New Roman"/>
        </w:rPr>
        <w:t xml:space="preserve"> and threats to the program. Opportunities include scalability, partnerships, and technological integration which threats include regulatory ch</w:t>
      </w:r>
      <w:r w:rsidR="3F9161C1" w:rsidRPr="53C8BB70">
        <w:rPr>
          <w:rFonts w:ascii="Times New Roman" w:eastAsia="Times New Roman" w:hAnsi="Times New Roman" w:cs="Times New Roman"/>
        </w:rPr>
        <w:t xml:space="preserve">anges, competition, and economic factors. </w:t>
      </w:r>
      <w:r w:rsidR="66B2DE21" w:rsidRPr="53C8BB70">
        <w:rPr>
          <w:rFonts w:ascii="Times New Roman" w:eastAsia="Times New Roman" w:hAnsi="Times New Roman" w:cs="Times New Roman"/>
        </w:rPr>
        <w:t>If the program is successful, it is able to be scaled to serve larger populations and continue to increase savings. There is also the opportunity to partner with healthcare providers to expand the reach of the program. Finally, there is the opportunity to enhance patient monitoring and engagement through additional technology options.</w:t>
      </w:r>
      <w:r w:rsidR="648FA2F5" w:rsidRPr="53C8BB70">
        <w:rPr>
          <w:rFonts w:ascii="Times New Roman" w:eastAsia="Times New Roman" w:hAnsi="Times New Roman" w:cs="Times New Roman"/>
        </w:rPr>
        <w:t xml:space="preserve"> As healthcare regulations are ever changing, there is a threat that a change in regulation could impact the program and the funding for the program. As healthcare wearable technology continues to increase, there is also market competition that could be a threat to the program. Finally, economic factors and downturns could affect both funding and patient partici</w:t>
      </w:r>
      <w:r w:rsidR="7023F7AF" w:rsidRPr="53C8BB70">
        <w:rPr>
          <w:rFonts w:ascii="Times New Roman" w:eastAsia="Times New Roman" w:hAnsi="Times New Roman" w:cs="Times New Roman"/>
        </w:rPr>
        <w:t xml:space="preserve">pation in the program. </w:t>
      </w:r>
    </w:p>
    <w:p w14:paraId="526DCA03" w14:textId="5CD021E6" w:rsidR="5D0F615C" w:rsidRDefault="5D0F615C" w:rsidP="53C8BB70">
      <w:pPr>
        <w:spacing w:line="480" w:lineRule="auto"/>
        <w:ind w:firstLine="720"/>
        <w:rPr>
          <w:rFonts w:ascii="Times New Roman" w:eastAsia="Times New Roman" w:hAnsi="Times New Roman" w:cs="Times New Roman"/>
        </w:rPr>
      </w:pPr>
      <w:r w:rsidRPr="53C8BB70">
        <w:rPr>
          <w:rFonts w:ascii="Times New Roman" w:eastAsia="Times New Roman" w:hAnsi="Times New Roman" w:cs="Times New Roman"/>
        </w:rPr>
        <w:t>The PHM program is designed to improve clinical outcomes and reduce healthcare costs through targeted interventions, with significant annual savings per patient and strong evidence-based support, while addressing potential challenges through realistic projections, data transparency, continuous evaluation, and stakeholder engagement</w:t>
      </w:r>
      <w:r w:rsidR="29FE28A0" w:rsidRPr="53C8BB70">
        <w:rPr>
          <w:rFonts w:ascii="Times New Roman" w:eastAsia="Times New Roman" w:hAnsi="Times New Roman" w:cs="Times New Roman"/>
        </w:rPr>
        <w:t>.</w:t>
      </w:r>
    </w:p>
    <w:p w14:paraId="6B11396A" w14:textId="0DC25F5D" w:rsidR="53C8BB70" w:rsidRDefault="53C8BB70">
      <w:r>
        <w:br w:type="page"/>
      </w:r>
    </w:p>
    <w:p w14:paraId="33E3A069" w14:textId="4A6520D3" w:rsidR="235E9DC2" w:rsidRDefault="235E9DC2" w:rsidP="53C8BB70">
      <w:pPr>
        <w:spacing w:line="480" w:lineRule="auto"/>
        <w:rPr>
          <w:rFonts w:ascii="Times New Roman" w:eastAsia="Times New Roman" w:hAnsi="Times New Roman" w:cs="Times New Roman"/>
          <w:color w:val="000000" w:themeColor="text1"/>
        </w:rPr>
      </w:pPr>
      <w:r w:rsidRPr="53C8BB70">
        <w:rPr>
          <w:rFonts w:ascii="Times New Roman" w:eastAsia="Times New Roman" w:hAnsi="Times New Roman" w:cs="Times New Roman"/>
          <w:b/>
          <w:bCs/>
          <w:color w:val="000000" w:themeColor="text1"/>
        </w:rPr>
        <w:t xml:space="preserve">References: </w:t>
      </w:r>
    </w:p>
    <w:p w14:paraId="7873181B" w14:textId="6AB093B9" w:rsidR="235E9DC2" w:rsidRDefault="235E9DC2" w:rsidP="53C8BB70">
      <w:pPr>
        <w:shd w:val="clear" w:color="auto" w:fill="FFFFFF" w:themeFill="background1"/>
        <w:spacing w:after="210"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Anderson, L. H., Whitebird, R. R., &amp; colleagues. (2014). </w:t>
      </w:r>
      <w:r w:rsidRPr="53C8BB70">
        <w:rPr>
          <w:rFonts w:ascii="Times New Roman" w:eastAsia="Times New Roman" w:hAnsi="Times New Roman" w:cs="Times New Roman"/>
          <w:i/>
          <w:iCs/>
          <w:color w:val="000000" w:themeColor="text1"/>
        </w:rPr>
        <w:t>Healthcare utilization and costs in persons with insomnia in a managed care population</w:t>
      </w:r>
      <w:r w:rsidRPr="53C8BB70">
        <w:rPr>
          <w:rFonts w:ascii="Times New Roman" w:eastAsia="Times New Roman" w:hAnsi="Times New Roman" w:cs="Times New Roman"/>
          <w:color w:val="000000" w:themeColor="text1"/>
        </w:rPr>
        <w:t xml:space="preserve">. The American Journal of Managed Care. Retrieved November 30, 2024, from </w:t>
      </w:r>
      <w:hyperlink r:id="rId6">
        <w:r w:rsidRPr="53C8BB70">
          <w:rPr>
            <w:rStyle w:val="Hyperlink"/>
            <w:rFonts w:ascii="Times New Roman" w:eastAsia="Times New Roman" w:hAnsi="Times New Roman" w:cs="Times New Roman"/>
          </w:rPr>
          <w:t>https://www.ajmc.com/view/healthcare-utilization-and-costs-in-persons-with-insomnia-in-a-managed-care-population</w:t>
        </w:r>
      </w:hyperlink>
    </w:p>
    <w:p w14:paraId="009BEBC5" w14:textId="4EB3DA33" w:rsidR="235E9DC2" w:rsidRDefault="235E9DC2" w:rsidP="53C8BB70">
      <w:pPr>
        <w:shd w:val="clear" w:color="auto" w:fill="FFFFFF" w:themeFill="background1"/>
        <w:spacing w:after="210"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CBT for Insomnia. (n.d.). CBT-I clinician training. CBT for Insomnia. </w:t>
      </w:r>
      <w:hyperlink r:id="rId7">
        <w:r w:rsidRPr="53C8BB70">
          <w:rPr>
            <w:rStyle w:val="Hyperlink"/>
            <w:rFonts w:ascii="Times New Roman" w:eastAsia="Times New Roman" w:hAnsi="Times New Roman" w:cs="Times New Roman"/>
          </w:rPr>
          <w:t>https://cbtforinsomnia.com/cbt-i-clinician-training/</w:t>
        </w:r>
      </w:hyperlink>
    </w:p>
    <w:p w14:paraId="019A027D" w14:textId="709F9014" w:rsidR="235E9DC2" w:rsidRDefault="235E9DC2" w:rsidP="53C8BB70">
      <w:pPr>
        <w:spacing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GovSalaries. (2024). </w:t>
      </w:r>
      <w:r w:rsidRPr="53C8BB70">
        <w:rPr>
          <w:rFonts w:ascii="Times New Roman" w:eastAsia="Times New Roman" w:hAnsi="Times New Roman" w:cs="Times New Roman"/>
          <w:i/>
          <w:iCs/>
          <w:color w:val="000000" w:themeColor="text1"/>
        </w:rPr>
        <w:t>Behavioral health clinician salary</w:t>
      </w:r>
      <w:r w:rsidRPr="53C8BB70">
        <w:rPr>
          <w:rFonts w:ascii="Times New Roman" w:eastAsia="Times New Roman" w:hAnsi="Times New Roman" w:cs="Times New Roman"/>
          <w:color w:val="000000" w:themeColor="text1"/>
        </w:rPr>
        <w:t xml:space="preserve">. Retrieved November 30, 2024, from </w:t>
      </w:r>
      <w:hyperlink r:id="rId8">
        <w:r w:rsidRPr="53C8BB70">
          <w:rPr>
            <w:rStyle w:val="Hyperlink"/>
            <w:rFonts w:ascii="Times New Roman" w:eastAsia="Times New Roman" w:hAnsi="Times New Roman" w:cs="Times New Roman"/>
          </w:rPr>
          <w:t>https://govsalaries.com/salaries/behavioral-health-clinician-salary</w:t>
        </w:r>
      </w:hyperlink>
    </w:p>
    <w:p w14:paraId="0E072237" w14:textId="6BE1EF43" w:rsidR="235E9DC2" w:rsidRDefault="235E9DC2" w:rsidP="53C8BB70">
      <w:pPr>
        <w:spacing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GovSalaries. (2024). </w:t>
      </w:r>
      <w:r w:rsidRPr="53C8BB70">
        <w:rPr>
          <w:rFonts w:ascii="Times New Roman" w:eastAsia="Times New Roman" w:hAnsi="Times New Roman" w:cs="Times New Roman"/>
          <w:i/>
          <w:iCs/>
          <w:color w:val="000000" w:themeColor="text1"/>
        </w:rPr>
        <w:t>Primary care provider-exempt salary</w:t>
      </w:r>
      <w:r w:rsidRPr="53C8BB70">
        <w:rPr>
          <w:rFonts w:ascii="Times New Roman" w:eastAsia="Times New Roman" w:hAnsi="Times New Roman" w:cs="Times New Roman"/>
          <w:color w:val="000000" w:themeColor="text1"/>
        </w:rPr>
        <w:t xml:space="preserve">. Retrieved November 30, 2024, from </w:t>
      </w:r>
      <w:hyperlink r:id="rId9">
        <w:r w:rsidRPr="53C8BB70">
          <w:rPr>
            <w:rStyle w:val="Hyperlink"/>
            <w:rFonts w:ascii="Times New Roman" w:eastAsia="Times New Roman" w:hAnsi="Times New Roman" w:cs="Times New Roman"/>
          </w:rPr>
          <w:t>https://govsalaries.com/salaries/primary-care-provider-exempt-salary</w:t>
        </w:r>
      </w:hyperlink>
    </w:p>
    <w:p w14:paraId="72CA6D15" w14:textId="2CDE9CC3" w:rsidR="235E9DC2" w:rsidRDefault="235E9DC2" w:rsidP="53C8BB70">
      <w:pPr>
        <w:spacing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GovSalaries. (2024). </w:t>
      </w:r>
      <w:r w:rsidRPr="53C8BB70">
        <w:rPr>
          <w:rFonts w:ascii="Times New Roman" w:eastAsia="Times New Roman" w:hAnsi="Times New Roman" w:cs="Times New Roman"/>
          <w:i/>
          <w:iCs/>
          <w:color w:val="000000" w:themeColor="text1"/>
        </w:rPr>
        <w:t>Office secretary salary</w:t>
      </w:r>
      <w:r w:rsidRPr="53C8BB70">
        <w:rPr>
          <w:rFonts w:ascii="Times New Roman" w:eastAsia="Times New Roman" w:hAnsi="Times New Roman" w:cs="Times New Roman"/>
          <w:color w:val="000000" w:themeColor="text1"/>
        </w:rPr>
        <w:t xml:space="preserve">. Retrieved November 30, 2024, from </w:t>
      </w:r>
      <w:hyperlink r:id="rId10">
        <w:r w:rsidRPr="53C8BB70">
          <w:rPr>
            <w:rStyle w:val="Hyperlink"/>
            <w:rFonts w:ascii="Times New Roman" w:eastAsia="Times New Roman" w:hAnsi="Times New Roman" w:cs="Times New Roman"/>
          </w:rPr>
          <w:t>https://govsalaries.com/salaries/office-secretary-salary</w:t>
        </w:r>
      </w:hyperlink>
    </w:p>
    <w:p w14:paraId="4ACF3C00" w14:textId="17C50E69" w:rsidR="235E9DC2" w:rsidRDefault="235E9DC2" w:rsidP="53C8BB70">
      <w:pPr>
        <w:spacing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GovSalaries. (2024). </w:t>
      </w:r>
      <w:r w:rsidRPr="53C8BB70">
        <w:rPr>
          <w:rFonts w:ascii="Times New Roman" w:eastAsia="Times New Roman" w:hAnsi="Times New Roman" w:cs="Times New Roman"/>
          <w:i/>
          <w:iCs/>
          <w:color w:val="000000" w:themeColor="text1"/>
        </w:rPr>
        <w:t>Psychologist salary</w:t>
      </w:r>
      <w:r w:rsidRPr="53C8BB70">
        <w:rPr>
          <w:rFonts w:ascii="Times New Roman" w:eastAsia="Times New Roman" w:hAnsi="Times New Roman" w:cs="Times New Roman"/>
          <w:color w:val="000000" w:themeColor="text1"/>
        </w:rPr>
        <w:t xml:space="preserve">. Retrieved November 30, 2024, from </w:t>
      </w:r>
      <w:hyperlink r:id="rId11">
        <w:r w:rsidRPr="53C8BB70">
          <w:rPr>
            <w:rStyle w:val="Hyperlink"/>
            <w:rFonts w:ascii="Times New Roman" w:eastAsia="Times New Roman" w:hAnsi="Times New Roman" w:cs="Times New Roman"/>
          </w:rPr>
          <w:t>https://govsalaries.com/salaries/psychologist-salary</w:t>
        </w:r>
      </w:hyperlink>
    </w:p>
    <w:p w14:paraId="7C558589" w14:textId="182793DF" w:rsidR="235E9DC2" w:rsidRDefault="235E9DC2" w:rsidP="53C8BB70">
      <w:pPr>
        <w:spacing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GovSalaries. (2024). </w:t>
      </w:r>
      <w:r w:rsidRPr="53C8BB70">
        <w:rPr>
          <w:rFonts w:ascii="Times New Roman" w:eastAsia="Times New Roman" w:hAnsi="Times New Roman" w:cs="Times New Roman"/>
          <w:i/>
          <w:iCs/>
        </w:rPr>
        <w:t>Registered nurse salary</w:t>
      </w:r>
      <w:r w:rsidRPr="53C8BB70">
        <w:rPr>
          <w:rFonts w:ascii="Times New Roman" w:eastAsia="Times New Roman" w:hAnsi="Times New Roman" w:cs="Times New Roman"/>
        </w:rPr>
        <w:t xml:space="preserve">. Retrieved November 30, 2024, from </w:t>
      </w:r>
      <w:hyperlink r:id="rId12">
        <w:r w:rsidRPr="53C8BB70">
          <w:rPr>
            <w:rStyle w:val="Hyperlink"/>
            <w:rFonts w:ascii="Times New Roman" w:eastAsia="Times New Roman" w:hAnsi="Times New Roman" w:cs="Times New Roman"/>
            <w:color w:val="auto"/>
          </w:rPr>
          <w:t>https://govsalaries.com/salaries/registered-nurse-salary</w:t>
        </w:r>
      </w:hyperlink>
    </w:p>
    <w:p w14:paraId="4E95ADCB" w14:textId="5FAC884C" w:rsidR="235E9DC2" w:rsidRDefault="235E9DC2" w:rsidP="53C8BB70">
      <w:pPr>
        <w:shd w:val="clear" w:color="auto" w:fill="FFFFFF" w:themeFill="background1"/>
        <w:spacing w:after="210"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Grandner, M., Olivieri, A., Ahuja, A., Büsser, A., Freidank, M., &amp; McCall, W. V. (2023). </w:t>
      </w:r>
      <w:r w:rsidRPr="53C8BB70">
        <w:rPr>
          <w:rFonts w:ascii="Times New Roman" w:eastAsia="Times New Roman" w:hAnsi="Times New Roman" w:cs="Times New Roman"/>
          <w:i/>
          <w:iCs/>
        </w:rPr>
        <w:t>The burden of untreated insomnia disorder in a sample of 1 million adults: A cohort study</w:t>
      </w:r>
      <w:r w:rsidRPr="53C8BB70">
        <w:rPr>
          <w:rFonts w:ascii="Times New Roman" w:eastAsia="Times New Roman" w:hAnsi="Times New Roman" w:cs="Times New Roman"/>
        </w:rPr>
        <w:t xml:space="preserve">. BMC Public Health. Retrieved November 30, 2024, from </w:t>
      </w:r>
      <w:hyperlink r:id="rId13">
        <w:r w:rsidRPr="53C8BB70">
          <w:rPr>
            <w:rStyle w:val="Hyperlink"/>
            <w:rFonts w:ascii="Times New Roman" w:eastAsia="Times New Roman" w:hAnsi="Times New Roman" w:cs="Times New Roman"/>
            <w:color w:val="auto"/>
          </w:rPr>
          <w:t>https://bmcpublichealth.biomedcentral.com/articles/10.1186/s12889-023-16329-9</w:t>
        </w:r>
      </w:hyperlink>
    </w:p>
    <w:p w14:paraId="1DE50522" w14:textId="5BBDA2A0" w:rsidR="235E9DC2" w:rsidRDefault="235E9DC2" w:rsidP="53C8BB70">
      <w:pPr>
        <w:spacing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Kaur, B. (2022). </w:t>
      </w:r>
      <w:r w:rsidRPr="53C8BB70">
        <w:rPr>
          <w:rFonts w:ascii="Times New Roman" w:eastAsia="Times New Roman" w:hAnsi="Times New Roman" w:cs="Times New Roman"/>
          <w:i/>
          <w:iCs/>
        </w:rPr>
        <w:t>A guide to healthcare software pricing models</w:t>
      </w:r>
      <w:r w:rsidRPr="53C8BB70">
        <w:rPr>
          <w:rFonts w:ascii="Times New Roman" w:eastAsia="Times New Roman" w:hAnsi="Times New Roman" w:cs="Times New Roman"/>
        </w:rPr>
        <w:t xml:space="preserve">. Software Advice. Retrieved November 30, 2024, from </w:t>
      </w:r>
      <w:hyperlink r:id="rId14">
        <w:r w:rsidRPr="53C8BB70">
          <w:rPr>
            <w:rStyle w:val="Hyperlink"/>
            <w:rFonts w:ascii="Times New Roman" w:eastAsia="Times New Roman" w:hAnsi="Times New Roman" w:cs="Times New Roman"/>
            <w:color w:val="auto"/>
          </w:rPr>
          <w:t>https://www.softwareadvice.com/resources/healthcare-software-pricing-models/</w:t>
        </w:r>
      </w:hyperlink>
    </w:p>
    <w:p w14:paraId="7D207327" w14:textId="35B402CC" w:rsidR="72F55A59" w:rsidRDefault="72F55A59" w:rsidP="53C8BB70">
      <w:pPr>
        <w:spacing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Lewis, A. (2012). </w:t>
      </w:r>
      <w:r w:rsidRPr="53C8BB70">
        <w:rPr>
          <w:rFonts w:ascii="Times New Roman" w:eastAsia="Times New Roman" w:hAnsi="Times New Roman" w:cs="Times New Roman"/>
          <w:i/>
          <w:iCs/>
        </w:rPr>
        <w:t>Why nobody believes the numbers: Distinguishing fact from fiction in population health management</w:t>
      </w:r>
      <w:r w:rsidRPr="53C8BB70">
        <w:rPr>
          <w:rFonts w:ascii="Times New Roman" w:eastAsia="Times New Roman" w:hAnsi="Times New Roman" w:cs="Times New Roman"/>
        </w:rPr>
        <w:t>. John Wiley &amp; Sons.</w:t>
      </w:r>
    </w:p>
    <w:p w14:paraId="3D4AEE4C" w14:textId="6745F935" w:rsidR="235E9DC2" w:rsidRDefault="235E9DC2" w:rsidP="53C8BB70">
      <w:pPr>
        <w:shd w:val="clear" w:color="auto" w:fill="FFFFFF" w:themeFill="background1"/>
        <w:spacing w:after="210"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Mindful Leader. (2020, October 15). How much does MBSR cost? Mindful Leader. </w:t>
      </w:r>
      <w:hyperlink r:id="rId15">
        <w:r w:rsidRPr="53C8BB70">
          <w:rPr>
            <w:rStyle w:val="Hyperlink"/>
            <w:rFonts w:ascii="Times New Roman" w:eastAsia="Times New Roman" w:hAnsi="Times New Roman" w:cs="Times New Roman"/>
            <w:color w:val="auto"/>
          </w:rPr>
          <w:t>https://www.mindfulleader.org/blog/54935-how-much-does-mbsr-cost</w:t>
        </w:r>
      </w:hyperlink>
    </w:p>
    <w:p w14:paraId="561F4AA3" w14:textId="2E97A6CC" w:rsidR="235E9DC2" w:rsidRDefault="235E9DC2" w:rsidP="53C8BB70">
      <w:pPr>
        <w:pBdr>
          <w:top w:val="single" w:sz="0" w:space="1" w:color="C7CDD1"/>
        </w:pBdr>
        <w:shd w:val="clear" w:color="auto" w:fill="FFFFFF" w:themeFill="background1"/>
        <w:spacing w:after="0" w:line="480" w:lineRule="auto"/>
        <w:ind w:left="720" w:hanging="720"/>
        <w:rPr>
          <w:rFonts w:ascii="Times New Roman" w:eastAsia="Times New Roman" w:hAnsi="Times New Roman" w:cs="Times New Roman"/>
        </w:rPr>
      </w:pPr>
      <w:r w:rsidRPr="53C8BB70">
        <w:rPr>
          <w:rFonts w:ascii="Times New Roman" w:eastAsia="Times New Roman" w:hAnsi="Times New Roman" w:cs="Times New Roman"/>
        </w:rPr>
        <w:t xml:space="preserve">Stobierski, T. (2020). How to calculate ROI to justify a project. Harvard Business School. </w:t>
      </w:r>
      <w:hyperlink r:id="rId16">
        <w:r w:rsidRPr="53C8BB70">
          <w:rPr>
            <w:rStyle w:val="Hyperlink"/>
            <w:rFonts w:ascii="Times New Roman" w:eastAsia="Times New Roman" w:hAnsi="Times New Roman" w:cs="Times New Roman"/>
            <w:color w:val="auto"/>
          </w:rPr>
          <w:t>https://online.hbs.edu/blog/post/how-to-calculate-roi-for-a-project</w:t>
        </w:r>
      </w:hyperlink>
    </w:p>
    <w:p w14:paraId="72275136" w14:textId="2BF34885" w:rsidR="53C8BB70" w:rsidRDefault="53C8BB70" w:rsidP="53C8BB70">
      <w:pPr>
        <w:pBdr>
          <w:top w:val="single" w:sz="0" w:space="1" w:color="C7CDD1"/>
        </w:pBdr>
        <w:shd w:val="clear" w:color="auto" w:fill="FFFFFF" w:themeFill="background1"/>
        <w:spacing w:after="0"/>
        <w:rPr>
          <w:rFonts w:ascii="Times New Roman" w:eastAsia="Times New Roman" w:hAnsi="Times New Roman" w:cs="Times New Roman"/>
          <w:color w:val="000000" w:themeColor="text1"/>
        </w:rPr>
      </w:pPr>
    </w:p>
    <w:p w14:paraId="45B7534A" w14:textId="50C9AF94" w:rsidR="235E9DC2" w:rsidRDefault="235E9DC2" w:rsidP="53C8BB70">
      <w:pPr>
        <w:pBdr>
          <w:top w:val="single" w:sz="0" w:space="1" w:color="C7CDD1"/>
        </w:pBdr>
        <w:shd w:val="clear" w:color="auto" w:fill="FFFFFF" w:themeFill="background1"/>
        <w:spacing w:after="0" w:line="480" w:lineRule="auto"/>
        <w:ind w:left="720" w:hanging="720"/>
        <w:rPr>
          <w:rFonts w:ascii="Times New Roman" w:eastAsia="Times New Roman" w:hAnsi="Times New Roman" w:cs="Times New Roman"/>
          <w:color w:val="000000" w:themeColor="text1"/>
        </w:rPr>
      </w:pPr>
      <w:r w:rsidRPr="53C8BB70">
        <w:rPr>
          <w:rFonts w:ascii="Times New Roman" w:eastAsia="Times New Roman" w:hAnsi="Times New Roman" w:cs="Times New Roman"/>
          <w:color w:val="000000" w:themeColor="text1"/>
        </w:rPr>
        <w:t xml:space="preserve">Taddei-Allen, P. (2020). </w:t>
      </w:r>
      <w:r w:rsidRPr="53C8BB70">
        <w:rPr>
          <w:rFonts w:ascii="Times New Roman" w:eastAsia="Times New Roman" w:hAnsi="Times New Roman" w:cs="Times New Roman"/>
          <w:i/>
          <w:iCs/>
          <w:color w:val="000000" w:themeColor="text1"/>
        </w:rPr>
        <w:t>Economic burden and managed care considerations for the treatment of insomnia</w:t>
      </w:r>
      <w:r w:rsidRPr="53C8BB70">
        <w:rPr>
          <w:rFonts w:ascii="Times New Roman" w:eastAsia="Times New Roman" w:hAnsi="Times New Roman" w:cs="Times New Roman"/>
          <w:color w:val="000000" w:themeColor="text1"/>
        </w:rPr>
        <w:t xml:space="preserve">. The American Journal of Managed Care. Retrieved November 30, 2024, from </w:t>
      </w:r>
      <w:hyperlink r:id="rId17">
        <w:r w:rsidRPr="53C8BB70">
          <w:rPr>
            <w:rStyle w:val="Hyperlink"/>
            <w:rFonts w:ascii="Times New Roman" w:eastAsia="Times New Roman" w:hAnsi="Times New Roman" w:cs="Times New Roman"/>
          </w:rPr>
          <w:t>https://www.ajmc.com/view/economic-burden-and-managed-care-considerations-for-the-treatment-of-insomnia</w:t>
        </w:r>
      </w:hyperlink>
    </w:p>
    <w:p w14:paraId="2A9F14F3" w14:textId="45490EA7" w:rsidR="22250CC8" w:rsidRDefault="22250CC8" w:rsidP="53C8BB70">
      <w:pPr>
        <w:rPr>
          <w:rFonts w:ascii="Lato" w:eastAsia="Lato" w:hAnsi="Lato" w:cs="Lato"/>
        </w:rPr>
      </w:pPr>
      <w:r>
        <w:br/>
      </w:r>
      <w:r>
        <w:br/>
      </w:r>
    </w:p>
    <w:p w14:paraId="3BB1B0C4" w14:textId="3A1B7804" w:rsidR="53C8BB70" w:rsidRDefault="53C8BB70" w:rsidP="53C8BB70"/>
    <w:sectPr w:rsidR="53C8BB70">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39BDD" w14:textId="77777777" w:rsidR="006A6D65" w:rsidRDefault="006A6D65">
      <w:pPr>
        <w:spacing w:after="0" w:line="240" w:lineRule="auto"/>
      </w:pPr>
      <w:r>
        <w:separator/>
      </w:r>
    </w:p>
  </w:endnote>
  <w:endnote w:type="continuationSeparator" w:id="0">
    <w:p w14:paraId="0209E9BD" w14:textId="77777777" w:rsidR="006A6D65" w:rsidRDefault="006A6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La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3C8BB70" w14:paraId="6F3E7939" w14:textId="77777777" w:rsidTr="53C8BB70">
      <w:trPr>
        <w:trHeight w:val="300"/>
      </w:trPr>
      <w:tc>
        <w:tcPr>
          <w:tcW w:w="3120" w:type="dxa"/>
        </w:tcPr>
        <w:p w14:paraId="426D744F" w14:textId="071BA995" w:rsidR="53C8BB70" w:rsidRDefault="53C8BB70" w:rsidP="53C8BB70">
          <w:pPr>
            <w:pStyle w:val="Header"/>
            <w:ind w:left="-115"/>
          </w:pPr>
        </w:p>
      </w:tc>
      <w:tc>
        <w:tcPr>
          <w:tcW w:w="3120" w:type="dxa"/>
        </w:tcPr>
        <w:p w14:paraId="5A8728F8" w14:textId="13C163D2" w:rsidR="53C8BB70" w:rsidRDefault="53C8BB70" w:rsidP="53C8BB70">
          <w:pPr>
            <w:pStyle w:val="Header"/>
            <w:jc w:val="center"/>
          </w:pPr>
        </w:p>
      </w:tc>
      <w:tc>
        <w:tcPr>
          <w:tcW w:w="3120" w:type="dxa"/>
        </w:tcPr>
        <w:p w14:paraId="1E8DB475" w14:textId="57D272FD" w:rsidR="53C8BB70" w:rsidRDefault="53C8BB70" w:rsidP="53C8BB70">
          <w:pPr>
            <w:pStyle w:val="Header"/>
            <w:ind w:right="-115"/>
            <w:jc w:val="right"/>
          </w:pPr>
        </w:p>
      </w:tc>
    </w:tr>
  </w:tbl>
  <w:p w14:paraId="0B60C14F" w14:textId="115F67C4" w:rsidR="53C8BB70" w:rsidRDefault="53C8BB70" w:rsidP="53C8B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7AA3" w14:textId="77777777" w:rsidR="006A6D65" w:rsidRDefault="006A6D65">
      <w:pPr>
        <w:spacing w:after="0" w:line="240" w:lineRule="auto"/>
      </w:pPr>
      <w:r>
        <w:separator/>
      </w:r>
    </w:p>
  </w:footnote>
  <w:footnote w:type="continuationSeparator" w:id="0">
    <w:p w14:paraId="05225C79" w14:textId="77777777" w:rsidR="006A6D65" w:rsidRDefault="006A6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3C8BB70" w14:paraId="6FEB1B5D" w14:textId="77777777" w:rsidTr="53C8BB70">
      <w:trPr>
        <w:trHeight w:val="300"/>
      </w:trPr>
      <w:tc>
        <w:tcPr>
          <w:tcW w:w="3120" w:type="dxa"/>
        </w:tcPr>
        <w:p w14:paraId="38D3D1C3" w14:textId="699C558A" w:rsidR="53C8BB70" w:rsidRDefault="53C8BB70" w:rsidP="53C8BB70">
          <w:pPr>
            <w:pStyle w:val="Heading1"/>
            <w:shd w:val="clear" w:color="auto" w:fill="FFFFFF" w:themeFill="background1"/>
            <w:spacing w:before="0" w:after="0"/>
            <w:rPr>
              <w:rFonts w:ascii="Times New Roman" w:eastAsia="Times New Roman" w:hAnsi="Times New Roman" w:cs="Times New Roman"/>
              <w:color w:val="auto"/>
              <w:sz w:val="24"/>
              <w:szCs w:val="24"/>
            </w:rPr>
          </w:pPr>
          <w:r w:rsidRPr="53C8BB70">
            <w:rPr>
              <w:rFonts w:ascii="Times New Roman" w:eastAsia="Times New Roman" w:hAnsi="Times New Roman" w:cs="Times New Roman"/>
              <w:color w:val="auto"/>
              <w:sz w:val="24"/>
              <w:szCs w:val="24"/>
            </w:rPr>
            <w:t>Module 7: Return on Investment ROI</w:t>
          </w:r>
        </w:p>
      </w:tc>
      <w:tc>
        <w:tcPr>
          <w:tcW w:w="3120" w:type="dxa"/>
        </w:tcPr>
        <w:p w14:paraId="70B544C2" w14:textId="08DC73EB" w:rsidR="53C8BB70" w:rsidRDefault="53C8BB70" w:rsidP="53C8BB70">
          <w:pPr>
            <w:pStyle w:val="Header"/>
            <w:jc w:val="center"/>
          </w:pPr>
        </w:p>
      </w:tc>
      <w:tc>
        <w:tcPr>
          <w:tcW w:w="3120" w:type="dxa"/>
        </w:tcPr>
        <w:p w14:paraId="72C1A19E" w14:textId="4F2504A7" w:rsidR="53C8BB70" w:rsidRDefault="53C8BB70" w:rsidP="53C8BB70">
          <w:pPr>
            <w:pStyle w:val="Header"/>
            <w:ind w:right="-115"/>
            <w:jc w:val="right"/>
          </w:pPr>
          <w:r>
            <w:fldChar w:fldCharType="begin"/>
          </w:r>
          <w:r>
            <w:instrText>PAGE</w:instrText>
          </w:r>
          <w:r>
            <w:fldChar w:fldCharType="separate"/>
          </w:r>
          <w:r w:rsidR="00F81CDF">
            <w:rPr>
              <w:noProof/>
            </w:rPr>
            <w:t>1</w:t>
          </w:r>
          <w:r>
            <w:fldChar w:fldCharType="end"/>
          </w:r>
        </w:p>
      </w:tc>
    </w:tr>
  </w:tbl>
  <w:p w14:paraId="6D139D3D" w14:textId="79B54243" w:rsidR="53C8BB70" w:rsidRDefault="53C8BB70" w:rsidP="53C8BB7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SwAwM4v" int2:invalidationBookmarkName="" int2:hashCode="3nQlDlygUn83Zb" int2:id="b3pOAj0F">
      <int2:state int2:value="Rejected" int2:type="WordDesignerDefaultAnnotation"/>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531AA1"/>
    <w:rsid w:val="006A6D65"/>
    <w:rsid w:val="00726883"/>
    <w:rsid w:val="00F81CDF"/>
    <w:rsid w:val="01BDE9C8"/>
    <w:rsid w:val="02D52666"/>
    <w:rsid w:val="041DB856"/>
    <w:rsid w:val="0707791B"/>
    <w:rsid w:val="0988C537"/>
    <w:rsid w:val="0A3D6C57"/>
    <w:rsid w:val="0EE3E18A"/>
    <w:rsid w:val="0F828F09"/>
    <w:rsid w:val="11DBBF92"/>
    <w:rsid w:val="11F20351"/>
    <w:rsid w:val="13DB11DA"/>
    <w:rsid w:val="14A82DC5"/>
    <w:rsid w:val="1514C317"/>
    <w:rsid w:val="15309EFC"/>
    <w:rsid w:val="153E2359"/>
    <w:rsid w:val="19A74F0C"/>
    <w:rsid w:val="1A8B19A5"/>
    <w:rsid w:val="1AC025D3"/>
    <w:rsid w:val="1B97BC85"/>
    <w:rsid w:val="1BEE37B7"/>
    <w:rsid w:val="1D77DE48"/>
    <w:rsid w:val="1F78F315"/>
    <w:rsid w:val="201D6185"/>
    <w:rsid w:val="20220730"/>
    <w:rsid w:val="2033F14B"/>
    <w:rsid w:val="2059B7FE"/>
    <w:rsid w:val="22250CC8"/>
    <w:rsid w:val="22387051"/>
    <w:rsid w:val="235E9DC2"/>
    <w:rsid w:val="24842964"/>
    <w:rsid w:val="2617F41B"/>
    <w:rsid w:val="280614A0"/>
    <w:rsid w:val="29531AA1"/>
    <w:rsid w:val="29FE28A0"/>
    <w:rsid w:val="2A3EF88F"/>
    <w:rsid w:val="2B4DF724"/>
    <w:rsid w:val="2D0EF15B"/>
    <w:rsid w:val="2DCDD7A6"/>
    <w:rsid w:val="2DEA42A1"/>
    <w:rsid w:val="30E8B952"/>
    <w:rsid w:val="36298B7F"/>
    <w:rsid w:val="382EE019"/>
    <w:rsid w:val="399D4961"/>
    <w:rsid w:val="3AB60A68"/>
    <w:rsid w:val="3DEA261F"/>
    <w:rsid w:val="3F9161C1"/>
    <w:rsid w:val="41909292"/>
    <w:rsid w:val="44C0A6C7"/>
    <w:rsid w:val="4825D00D"/>
    <w:rsid w:val="4EFBB980"/>
    <w:rsid w:val="4F433384"/>
    <w:rsid w:val="5133F1FC"/>
    <w:rsid w:val="51C212F6"/>
    <w:rsid w:val="53C8BB70"/>
    <w:rsid w:val="56281A8D"/>
    <w:rsid w:val="59F89DDD"/>
    <w:rsid w:val="5B507B97"/>
    <w:rsid w:val="5D0F615C"/>
    <w:rsid w:val="5DB4AC7A"/>
    <w:rsid w:val="5EA2AD0D"/>
    <w:rsid w:val="648FA2F5"/>
    <w:rsid w:val="65B3BBC6"/>
    <w:rsid w:val="665E26C5"/>
    <w:rsid w:val="66B2DE21"/>
    <w:rsid w:val="6736858C"/>
    <w:rsid w:val="675F5273"/>
    <w:rsid w:val="69EBA691"/>
    <w:rsid w:val="69FB908A"/>
    <w:rsid w:val="6AD292DA"/>
    <w:rsid w:val="6B0503CA"/>
    <w:rsid w:val="6BD01876"/>
    <w:rsid w:val="6BFFDB64"/>
    <w:rsid w:val="6C69A513"/>
    <w:rsid w:val="6E6D9D18"/>
    <w:rsid w:val="6F9DA70B"/>
    <w:rsid w:val="7023F7AF"/>
    <w:rsid w:val="70A0DAA7"/>
    <w:rsid w:val="7133A59F"/>
    <w:rsid w:val="7165B613"/>
    <w:rsid w:val="72F55A59"/>
    <w:rsid w:val="73A90F60"/>
    <w:rsid w:val="745D786A"/>
    <w:rsid w:val="75660615"/>
    <w:rsid w:val="770FC404"/>
    <w:rsid w:val="7A5AEE62"/>
    <w:rsid w:val="7CF60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06D59"/>
  <w15:chartTrackingRefBased/>
  <w15:docId w15:val="{1BD2F2AA-1080-48F5-8DA8-1E9E3026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53C8BB70"/>
    <w:rPr>
      <w:color w:val="467886"/>
      <w:u w:val="single"/>
    </w:rPr>
  </w:style>
  <w:style w:type="paragraph" w:styleId="Header">
    <w:name w:val="header"/>
    <w:basedOn w:val="Normal"/>
    <w:uiPriority w:val="99"/>
    <w:unhideWhenUsed/>
    <w:rsid w:val="53C8BB70"/>
    <w:pPr>
      <w:tabs>
        <w:tab w:val="center" w:pos="4680"/>
        <w:tab w:val="right" w:pos="9360"/>
      </w:tabs>
      <w:spacing w:after="0" w:line="240" w:lineRule="auto"/>
    </w:pPr>
  </w:style>
  <w:style w:type="paragraph" w:styleId="Footer">
    <w:name w:val="footer"/>
    <w:basedOn w:val="Normal"/>
    <w:uiPriority w:val="99"/>
    <w:unhideWhenUsed/>
    <w:rsid w:val="53C8BB7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vsalaries.com/salaries/behavioral-health-clinician-salary" TargetMode="External"/><Relationship Id="rId13" Type="http://schemas.openxmlformats.org/officeDocument/2006/relationships/hyperlink" Target="https://bmcpublichealth.biomedcentral.com/articles/10.1186/s12889-023-16329-9"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cbtforinsomnia.com/cbt-i-clinician-training/" TargetMode="External"/><Relationship Id="rId12" Type="http://schemas.openxmlformats.org/officeDocument/2006/relationships/hyperlink" Target="https://govsalaries.com/salaries/registered-nurse-salary" TargetMode="External"/><Relationship Id="rId17" Type="http://schemas.openxmlformats.org/officeDocument/2006/relationships/hyperlink" Target="https://www.ajmc.com/view/economic-burden-and-managed-care-considerations-for-the-treatment-of-insomnia" TargetMode="External"/><Relationship Id="rId2" Type="http://schemas.openxmlformats.org/officeDocument/2006/relationships/settings" Target="settings.xml"/><Relationship Id="rId16" Type="http://schemas.openxmlformats.org/officeDocument/2006/relationships/hyperlink" Target="https://online.hbs.edu/blog/post/how-to-calculate-roi-for-a-project"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jmc.com/view/healthcare-utilization-and-costs-in-persons-with-insomnia-in-a-managed-care-population" TargetMode="External"/><Relationship Id="rId11" Type="http://schemas.openxmlformats.org/officeDocument/2006/relationships/hyperlink" Target="https://govsalaries.com/salaries/psychologist-salary" TargetMode="External"/><Relationship Id="rId5" Type="http://schemas.openxmlformats.org/officeDocument/2006/relationships/endnotes" Target="endnotes.xml"/><Relationship Id="rId15" Type="http://schemas.openxmlformats.org/officeDocument/2006/relationships/hyperlink" Target="https://www.mindfulleader.org/blog/54935-how-much-does-mbsr-cost" TargetMode="External"/><Relationship Id="rId10" Type="http://schemas.openxmlformats.org/officeDocument/2006/relationships/hyperlink" Target="https://govsalaries.com/salaries/office-secretary-salary"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govsalaries.com/salaries/primary-care-provider-exempt-salary" TargetMode="External"/><Relationship Id="rId14" Type="http://schemas.openxmlformats.org/officeDocument/2006/relationships/hyperlink" Target="https://www.softwareadvice.com/resources/healthcare-software-pricing-models/"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2176</Words>
  <Characters>12407</Characters>
  <Application>Microsoft Office Word</Application>
  <DocSecurity>0</DocSecurity>
  <Lines>103</Lines>
  <Paragraphs>29</Paragraphs>
  <ScaleCrop>false</ScaleCrop>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Harsha Center</cp:lastModifiedBy>
  <cp:revision>2</cp:revision>
  <dcterms:created xsi:type="dcterms:W3CDTF">2026-08-12T15:18:00Z</dcterms:created>
  <dcterms:modified xsi:type="dcterms:W3CDTF">2026-08-12T15:18:00Z</dcterms:modified>
</cp:coreProperties>
</file>